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D36B" w14:textId="77777777" w:rsidR="00BD425B" w:rsidRPr="00BD425B" w:rsidRDefault="00BD425B" w:rsidP="00BD425B">
      <w:pPr>
        <w:spacing w:after="0" w:line="240" w:lineRule="auto"/>
        <w:jc w:val="center"/>
        <w:rPr>
          <w:rFonts w:ascii="Times New Roman" w:hAnsi="Times New Roman" w:cs="Times New Roman"/>
          <w:b/>
          <w:bCs/>
        </w:rPr>
      </w:pPr>
      <w:r w:rsidRPr="00BD425B">
        <w:rPr>
          <w:rFonts w:ascii="Times New Roman" w:hAnsi="Times New Roman" w:cs="Times New Roman"/>
          <w:b/>
          <w:bCs/>
        </w:rPr>
        <w:t>WATERFRONT PROPERTY SOMETIMES HAS RIGHTS</w:t>
      </w:r>
    </w:p>
    <w:p w14:paraId="1A55B6F6" w14:textId="77777777" w:rsidR="00960F83" w:rsidRPr="00D43ECB" w:rsidRDefault="00960F83" w:rsidP="00D43ECB">
      <w:pPr>
        <w:spacing w:after="0" w:line="240" w:lineRule="auto"/>
        <w:jc w:val="center"/>
        <w:rPr>
          <w:rFonts w:ascii="Times New Roman" w:hAnsi="Times New Roman" w:cs="Times New Roman"/>
          <w:b/>
          <w:bCs/>
        </w:rPr>
      </w:pPr>
      <w:r w:rsidRPr="00D43ECB">
        <w:rPr>
          <w:rFonts w:ascii="Times New Roman" w:hAnsi="Times New Roman" w:cs="Times New Roman"/>
          <w:b/>
          <w:bCs/>
        </w:rPr>
        <w:t>BY: WILLIAM G. MORRIS, ESQ.</w:t>
      </w:r>
    </w:p>
    <w:p w14:paraId="04BAFF9B" w14:textId="77777777" w:rsidR="00960F83" w:rsidRPr="00C16BF4" w:rsidRDefault="00960F83" w:rsidP="00C16BF4">
      <w:pPr>
        <w:spacing w:after="0" w:line="240" w:lineRule="auto"/>
        <w:jc w:val="both"/>
        <w:rPr>
          <w:rFonts w:ascii="Times New Roman" w:hAnsi="Times New Roman" w:cs="Times New Roman"/>
        </w:rPr>
      </w:pPr>
    </w:p>
    <w:p w14:paraId="738F446A" w14:textId="77777777"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Why do people buy waterfront property? Some might say the view. Many are boating enthusiasts and want easy access for recreation. Others want to fish off the back of their property and in some areas the property owner wants to use the water for irrigation or other purposes. Owners of waterfront property have all these rights, but the rights are not unlimited.</w:t>
      </w:r>
    </w:p>
    <w:p w14:paraId="3E581E00" w14:textId="77777777" w:rsidR="00BD425B" w:rsidRDefault="00BD425B" w:rsidP="00BD425B">
      <w:pPr>
        <w:spacing w:after="0" w:line="240" w:lineRule="auto"/>
        <w:ind w:firstLine="720"/>
        <w:jc w:val="both"/>
        <w:rPr>
          <w:rFonts w:ascii="Times New Roman" w:hAnsi="Times New Roman" w:cs="Times New Roman"/>
        </w:rPr>
      </w:pPr>
    </w:p>
    <w:p w14:paraId="5A409EBA" w14:textId="25155484"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Land abutting a river or stream has what are known as riparian rights while land abutting in ocean, sea or lake has what are known as littoral rights. Florida courts tend to combine the two </w:t>
      </w:r>
      <w:proofErr w:type="gramStart"/>
      <w:r w:rsidRPr="00BD425B">
        <w:rPr>
          <w:rFonts w:ascii="Times New Roman" w:hAnsi="Times New Roman" w:cs="Times New Roman"/>
        </w:rPr>
        <w:t>into</w:t>
      </w:r>
      <w:proofErr w:type="gramEnd"/>
      <w:r w:rsidRPr="00BD425B">
        <w:rPr>
          <w:rFonts w:ascii="Times New Roman" w:hAnsi="Times New Roman" w:cs="Times New Roman"/>
        </w:rPr>
        <w:t xml:space="preserve"> </w:t>
      </w:r>
      <w:proofErr w:type="gramStart"/>
      <w:r w:rsidRPr="00BD425B">
        <w:rPr>
          <w:rFonts w:ascii="Times New Roman" w:hAnsi="Times New Roman" w:cs="Times New Roman"/>
        </w:rPr>
        <w:t>a generic</w:t>
      </w:r>
      <w:proofErr w:type="gramEnd"/>
      <w:r w:rsidRPr="00BD425B">
        <w:rPr>
          <w:rFonts w:ascii="Times New Roman" w:hAnsi="Times New Roman" w:cs="Times New Roman"/>
        </w:rPr>
        <w:t xml:space="preserve"> reference to riparian rights when deciding a dispute as to the extent of the rights. Because waterfront property is so important in Florida, even the Legislature has weighed in.</w:t>
      </w:r>
    </w:p>
    <w:p w14:paraId="77FF774B" w14:textId="77777777" w:rsidR="00B10A54" w:rsidRDefault="00B10A54" w:rsidP="00BD425B">
      <w:pPr>
        <w:spacing w:after="0" w:line="240" w:lineRule="auto"/>
        <w:ind w:firstLine="720"/>
        <w:jc w:val="both"/>
        <w:rPr>
          <w:rFonts w:ascii="Times New Roman" w:hAnsi="Times New Roman" w:cs="Times New Roman"/>
        </w:rPr>
      </w:pPr>
    </w:p>
    <w:p w14:paraId="7C162819" w14:textId="6AB68B00"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Florida statutes define riparian rights as rights of land bordering navigable waterways. Florida Statutes confirm riparian rights are ingress, egress, boating, bathing and fishing plus the catchall of “such others as may be or have been defined by law.” The statute makes it clear that these rights attach to the land and are inseparable from it.</w:t>
      </w:r>
    </w:p>
    <w:p w14:paraId="281EBD74" w14:textId="77777777" w:rsidR="00B10A54" w:rsidRDefault="00B10A54" w:rsidP="00BD425B">
      <w:pPr>
        <w:spacing w:after="0" w:line="240" w:lineRule="auto"/>
        <w:ind w:firstLine="720"/>
        <w:jc w:val="both"/>
        <w:rPr>
          <w:rFonts w:ascii="Times New Roman" w:hAnsi="Times New Roman" w:cs="Times New Roman"/>
        </w:rPr>
      </w:pPr>
    </w:p>
    <w:p w14:paraId="790D41D0" w14:textId="1E907D2C"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First thing to note is riparian rights are limited to land abutting “navigable” waterways. Under federal law, a navigable waterway is a body of water that is subject to the ebb and flow of the tide or is used or has been used or may be used to transport commerce. In Florida, the entire waterway does not have to be navigable if only a small portion requires carrying a boat over land to be placed back in the water.</w:t>
      </w:r>
    </w:p>
    <w:p w14:paraId="2436FE67" w14:textId="77777777" w:rsidR="00B10A54" w:rsidRDefault="00B10A54" w:rsidP="00BD425B">
      <w:pPr>
        <w:spacing w:after="0" w:line="240" w:lineRule="auto"/>
        <w:ind w:firstLine="720"/>
        <w:jc w:val="both"/>
        <w:rPr>
          <w:rFonts w:ascii="Times New Roman" w:hAnsi="Times New Roman" w:cs="Times New Roman"/>
        </w:rPr>
      </w:pPr>
    </w:p>
    <w:p w14:paraId="0CA2B6C9" w14:textId="3E56D505"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Florida’s Supreme Court has issued numerous decisions addressing riparian rights. Distillation of those cases confirms that riparian rights include (1) right to access; (2) right to reasonable use; (3) right to unobstructed view; (4) right to wharf out to navigability; and (5) right to any land being added to the waterfront property by natural accretion. These rights seem simple enough, until they are not.</w:t>
      </w:r>
    </w:p>
    <w:p w14:paraId="31261151" w14:textId="77777777" w:rsidR="00B10A54" w:rsidRDefault="00B10A54" w:rsidP="00BD425B">
      <w:pPr>
        <w:spacing w:after="0" w:line="240" w:lineRule="auto"/>
        <w:ind w:firstLine="720"/>
        <w:jc w:val="both"/>
        <w:rPr>
          <w:rFonts w:ascii="Times New Roman" w:hAnsi="Times New Roman" w:cs="Times New Roman"/>
        </w:rPr>
      </w:pPr>
    </w:p>
    <w:p w14:paraId="594AF7FD" w14:textId="6CCA8A3C"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The most common riparian rights complaint that local waterfront owners have seems to be the right to an unobstructed view. The view is great and unobstructed until a neighbor wants to build a dock and lift. The dock and lift may be for a large boat, and the resultant product would take away the best part of view. The best part is the view down the canal and that is lost. All that the owner can see instead of a beautiful expanse of water and sunsets is a huge boat. The owner’s view is limited to the house across the canal.</w:t>
      </w:r>
    </w:p>
    <w:p w14:paraId="047D7A2E" w14:textId="77777777" w:rsidR="00B10A54" w:rsidRDefault="00B10A54" w:rsidP="00BD425B">
      <w:pPr>
        <w:spacing w:after="0" w:line="240" w:lineRule="auto"/>
        <w:ind w:firstLine="720"/>
        <w:jc w:val="both"/>
        <w:rPr>
          <w:rFonts w:ascii="Times New Roman" w:hAnsi="Times New Roman" w:cs="Times New Roman"/>
        </w:rPr>
      </w:pPr>
    </w:p>
    <w:p w14:paraId="2C187CE1" w14:textId="1C730B19"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The owner finds out sooner or later that riparian right of unobstructed view is not as far as the eye can or wants to see. It is limited to directly waterward from the upland property. The view that might be available by angling one’s home or even one’s head is not protected. </w:t>
      </w:r>
    </w:p>
    <w:p w14:paraId="077BDA95" w14:textId="77777777" w:rsidR="00B10A54" w:rsidRDefault="00B10A54" w:rsidP="00BD425B">
      <w:pPr>
        <w:spacing w:after="0" w:line="240" w:lineRule="auto"/>
        <w:ind w:firstLine="720"/>
        <w:jc w:val="both"/>
        <w:rPr>
          <w:rFonts w:ascii="Times New Roman" w:hAnsi="Times New Roman" w:cs="Times New Roman"/>
        </w:rPr>
      </w:pPr>
    </w:p>
    <w:p w14:paraId="427B80A8" w14:textId="5CC4DDBF"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And in some cases, even the right to an unobstructed view parallel to one’s property might be limited if reasonably necessary to allow use or access for a neighbor directly out. </w:t>
      </w:r>
    </w:p>
    <w:p w14:paraId="1F0F4CE1" w14:textId="77777777" w:rsidR="00B10A54" w:rsidRDefault="00B10A54" w:rsidP="00BD425B">
      <w:pPr>
        <w:spacing w:after="0" w:line="240" w:lineRule="auto"/>
        <w:ind w:firstLine="720"/>
        <w:jc w:val="both"/>
        <w:rPr>
          <w:rFonts w:ascii="Times New Roman" w:hAnsi="Times New Roman" w:cs="Times New Roman"/>
        </w:rPr>
      </w:pPr>
    </w:p>
    <w:p w14:paraId="17037A5C" w14:textId="357D32B6"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But, what about access? That is a </w:t>
      </w:r>
      <w:proofErr w:type="gramStart"/>
      <w:r w:rsidRPr="00BD425B">
        <w:rPr>
          <w:rFonts w:ascii="Times New Roman" w:hAnsi="Times New Roman" w:cs="Times New Roman"/>
        </w:rPr>
        <w:t>riparian right</w:t>
      </w:r>
      <w:proofErr w:type="gramEnd"/>
      <w:r w:rsidRPr="00BD425B">
        <w:rPr>
          <w:rFonts w:ascii="Times New Roman" w:hAnsi="Times New Roman" w:cs="Times New Roman"/>
        </w:rPr>
        <w:t xml:space="preserve"> and that big new dock makes it harder to get in and out by boat for the owner who just lost his view.</w:t>
      </w:r>
    </w:p>
    <w:p w14:paraId="45F4A0F9" w14:textId="77777777" w:rsidR="00B10A54" w:rsidRDefault="00B10A54" w:rsidP="00BD425B">
      <w:pPr>
        <w:spacing w:after="0" w:line="240" w:lineRule="auto"/>
        <w:ind w:firstLine="720"/>
        <w:jc w:val="both"/>
        <w:rPr>
          <w:rFonts w:ascii="Times New Roman" w:hAnsi="Times New Roman" w:cs="Times New Roman"/>
        </w:rPr>
      </w:pPr>
    </w:p>
    <w:p w14:paraId="7B79E047" w14:textId="290528A2"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Access and wharfing rights mean everyone along a waterway has to be able to bring a boat in and out and here there is no clear rule. Currents and the shape of shoreline can affect access rights. Zoning and deed restrictions often provide clearer rules, but just because a dock with boat meets </w:t>
      </w:r>
      <w:r w:rsidRPr="00BD425B">
        <w:rPr>
          <w:rFonts w:ascii="Times New Roman" w:hAnsi="Times New Roman" w:cs="Times New Roman"/>
        </w:rPr>
        <w:lastRenderedPageBreak/>
        <w:t>“code” does not always mean it can survive a challenge that it interferes with the neighbor’s access rights. In some cases, competing expert testimony is needed to reach a conclusion as the parties argue about how hard or possible it is to dock a boat. Just because the neighbor builds a bigger dock and things are tight does not mean the dock must go.</w:t>
      </w:r>
    </w:p>
    <w:p w14:paraId="5632121B" w14:textId="77777777" w:rsidR="00B10A54" w:rsidRDefault="00B10A54" w:rsidP="00BD425B">
      <w:pPr>
        <w:spacing w:after="0" w:line="240" w:lineRule="auto"/>
        <w:ind w:firstLine="720"/>
        <w:jc w:val="both"/>
        <w:rPr>
          <w:rFonts w:ascii="Times New Roman" w:hAnsi="Times New Roman" w:cs="Times New Roman"/>
        </w:rPr>
      </w:pPr>
    </w:p>
    <w:p w14:paraId="0D9E013A" w14:textId="54D04D4B"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Access includes the right to reach the water from the upland. Depending on the configuration of lot lines, that might require travel over someone else’s land. Again, the court will tell the parties what is reasonable in defining “rights.”</w:t>
      </w:r>
    </w:p>
    <w:p w14:paraId="08DA9733" w14:textId="77777777" w:rsidR="00B10A54" w:rsidRDefault="00B10A54" w:rsidP="00BD425B">
      <w:pPr>
        <w:spacing w:after="0" w:line="240" w:lineRule="auto"/>
        <w:ind w:firstLine="720"/>
        <w:jc w:val="both"/>
        <w:rPr>
          <w:rFonts w:ascii="Times New Roman" w:hAnsi="Times New Roman" w:cs="Times New Roman"/>
        </w:rPr>
      </w:pPr>
    </w:p>
    <w:p w14:paraId="01A1C43F" w14:textId="59ED8A2C"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There is no black line to decide these cases. They are decided by application of what judges call the “rule of reasonableness”. What is reasonable for one is unreasonable to the other. The Judge or jury will decide for both.</w:t>
      </w:r>
    </w:p>
    <w:p w14:paraId="7463019E" w14:textId="77777777" w:rsidR="00B10A54" w:rsidRDefault="00B10A54" w:rsidP="00BD425B">
      <w:pPr>
        <w:spacing w:after="0" w:line="240" w:lineRule="auto"/>
        <w:ind w:firstLine="720"/>
        <w:jc w:val="both"/>
        <w:rPr>
          <w:rFonts w:ascii="Times New Roman" w:hAnsi="Times New Roman" w:cs="Times New Roman"/>
        </w:rPr>
      </w:pPr>
    </w:p>
    <w:p w14:paraId="35F264E0" w14:textId="44E73181"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 Perhaps the most disappointed in the riparian rights arena are those folks who buy property nearby but not on the water. In canal-based communities, there are often many “pinch” lots, meaning they are bound on one or more sides by others, and the property never gets all the way to the water. </w:t>
      </w:r>
    </w:p>
    <w:p w14:paraId="2266BEA4" w14:textId="77777777" w:rsidR="00B10A54" w:rsidRDefault="00B10A54" w:rsidP="00BD425B">
      <w:pPr>
        <w:spacing w:after="0" w:line="240" w:lineRule="auto"/>
        <w:ind w:firstLine="720"/>
        <w:jc w:val="both"/>
        <w:rPr>
          <w:rFonts w:ascii="Times New Roman" w:hAnsi="Times New Roman" w:cs="Times New Roman"/>
        </w:rPr>
      </w:pPr>
    </w:p>
    <w:p w14:paraId="2F14C3DD" w14:textId="15420FD9"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 xml:space="preserve">Many of these property owners are happy to have a pinch lot, as they do not have to deal with seawalls or other waterfront expenses but have a pretty good and open water view. At least they have a view when they buy their property, but later a neighbor puts in a dock, a hedge or even a structure and the view is eliminated. That is when the owner discovers there is no right of view at all for a non-waterfront property.  </w:t>
      </w:r>
    </w:p>
    <w:p w14:paraId="22D218B2" w14:textId="77777777" w:rsidR="00B10A54" w:rsidRDefault="00B10A54" w:rsidP="00BD425B">
      <w:pPr>
        <w:spacing w:after="0" w:line="240" w:lineRule="auto"/>
        <w:ind w:firstLine="720"/>
        <w:jc w:val="both"/>
        <w:rPr>
          <w:rFonts w:ascii="Times New Roman" w:hAnsi="Times New Roman" w:cs="Times New Roman"/>
        </w:rPr>
      </w:pPr>
    </w:p>
    <w:p w14:paraId="4AAAB619" w14:textId="5AAC6601" w:rsidR="00BD425B" w:rsidRPr="00BD425B" w:rsidRDefault="00BD425B" w:rsidP="00BD425B">
      <w:pPr>
        <w:spacing w:after="0" w:line="240" w:lineRule="auto"/>
        <w:ind w:firstLine="720"/>
        <w:jc w:val="both"/>
        <w:rPr>
          <w:rFonts w:ascii="Times New Roman" w:hAnsi="Times New Roman" w:cs="Times New Roman"/>
        </w:rPr>
      </w:pPr>
      <w:r w:rsidRPr="00BD425B">
        <w:rPr>
          <w:rFonts w:ascii="Times New Roman" w:hAnsi="Times New Roman" w:cs="Times New Roman"/>
        </w:rPr>
        <w:t>Beginning with the right of view, riparian rights do not mean what you see is what you get. Because the extent of rights is not always clear, there is often room for argument. When neighbors can’t agree on what is reasonable, a judge will do it for them.</w:t>
      </w:r>
    </w:p>
    <w:p w14:paraId="5F5D2405" w14:textId="77777777" w:rsidR="009D0449" w:rsidRPr="00022741" w:rsidRDefault="009D0449" w:rsidP="009D0449">
      <w:pPr>
        <w:spacing w:after="0" w:line="240" w:lineRule="auto"/>
        <w:jc w:val="both"/>
        <w:rPr>
          <w:rFonts w:ascii="Times New Roman" w:hAnsi="Times New Roman" w:cs="Times New Roman"/>
        </w:rPr>
      </w:pPr>
    </w:p>
    <w:p w14:paraId="7A47BEA6" w14:textId="77777777" w:rsidR="002932E8" w:rsidRDefault="002932E8" w:rsidP="005248D7">
      <w:pPr>
        <w:spacing w:after="0" w:line="240" w:lineRule="auto"/>
        <w:jc w:val="both"/>
        <w:rPr>
          <w:rFonts w:ascii="Times New Roman" w:hAnsi="Times New Roman" w:cs="Times New Roman"/>
          <w:b/>
          <w:i/>
          <w:sz w:val="18"/>
          <w:szCs w:val="18"/>
        </w:rPr>
      </w:pPr>
    </w:p>
    <w:p w14:paraId="35AAC524" w14:textId="77777777" w:rsidR="00C350EE" w:rsidRDefault="00B80DE7" w:rsidP="005248D7">
      <w:pPr>
        <w:spacing w:after="0" w:line="240" w:lineRule="auto"/>
        <w:jc w:val="both"/>
        <w:rPr>
          <w:rFonts w:ascii="Times New Roman" w:hAnsi="Times New Roman" w:cs="Times New Roman"/>
          <w:b/>
          <w:i/>
          <w:sz w:val="18"/>
          <w:szCs w:val="18"/>
        </w:rPr>
      </w:pPr>
      <w:r w:rsidRPr="00CD2569">
        <w:rPr>
          <w:rFonts w:ascii="Times New Roman" w:hAnsi="Times New Roman" w:cs="Times New Roman"/>
          <w:b/>
          <w:i/>
          <w:sz w:val="18"/>
          <w:szCs w:val="18"/>
        </w:rPr>
        <w:t xml:space="preserve">William G. Morris is the principal of William G. Morris, P.A. </w:t>
      </w:r>
      <w:r w:rsidR="00C350EE">
        <w:rPr>
          <w:rFonts w:ascii="Times New Roman" w:hAnsi="Times New Roman" w:cs="Times New Roman"/>
          <w:b/>
          <w:i/>
          <w:sz w:val="18"/>
          <w:szCs w:val="18"/>
        </w:rPr>
        <w:t>He</w:t>
      </w:r>
      <w:r w:rsidRPr="00CD2569">
        <w:rPr>
          <w:rFonts w:ascii="Times New Roman" w:hAnsi="Times New Roman" w:cs="Times New Roman"/>
          <w:b/>
          <w:i/>
          <w:sz w:val="18"/>
          <w:szCs w:val="18"/>
        </w:rPr>
        <w:t xml:space="preserve"> and his firm have represented clients in Collier County</w:t>
      </w:r>
      <w:r w:rsidR="00C350EE">
        <w:rPr>
          <w:rFonts w:ascii="Times New Roman" w:hAnsi="Times New Roman" w:cs="Times New Roman"/>
          <w:b/>
          <w:i/>
          <w:sz w:val="18"/>
          <w:szCs w:val="18"/>
        </w:rPr>
        <w:t xml:space="preserve"> and surrounding areas</w:t>
      </w:r>
      <w:r w:rsidRPr="00CD2569">
        <w:rPr>
          <w:rFonts w:ascii="Times New Roman" w:hAnsi="Times New Roman" w:cs="Times New Roman"/>
          <w:b/>
          <w:i/>
          <w:sz w:val="18"/>
          <w:szCs w:val="18"/>
        </w:rPr>
        <w:t xml:space="preserve"> for over 3</w:t>
      </w:r>
      <w:r w:rsidR="00C350EE">
        <w:rPr>
          <w:rFonts w:ascii="Times New Roman" w:hAnsi="Times New Roman" w:cs="Times New Roman"/>
          <w:b/>
          <w:i/>
          <w:sz w:val="18"/>
          <w:szCs w:val="18"/>
        </w:rPr>
        <w:t>5</w:t>
      </w:r>
      <w:r w:rsidRPr="00CD2569">
        <w:rPr>
          <w:rFonts w:ascii="Times New Roman" w:hAnsi="Times New Roman" w:cs="Times New Roman"/>
          <w:b/>
          <w:i/>
          <w:sz w:val="18"/>
          <w:szCs w:val="18"/>
        </w:rPr>
        <w:t xml:space="preserve"> years. His practice includes litigation</w:t>
      </w:r>
      <w:r w:rsidR="00C350EE">
        <w:rPr>
          <w:rFonts w:ascii="Times New Roman" w:hAnsi="Times New Roman" w:cs="Times New Roman"/>
          <w:b/>
          <w:i/>
          <w:sz w:val="18"/>
          <w:szCs w:val="18"/>
        </w:rPr>
        <w:t>, personal injury, estate planning, probate, business law, construction law, landlord-tenant law, condominium and homeowners’ associations,</w:t>
      </w:r>
      <w:r w:rsidRPr="00CD2569">
        <w:rPr>
          <w:rFonts w:ascii="Times New Roman" w:hAnsi="Times New Roman" w:cs="Times New Roman"/>
          <w:b/>
          <w:i/>
          <w:sz w:val="18"/>
          <w:szCs w:val="18"/>
        </w:rPr>
        <w:t xml:space="preserve"> divorce, real estate</w:t>
      </w:r>
      <w:r w:rsidR="00C350EE">
        <w:rPr>
          <w:rFonts w:ascii="Times New Roman" w:hAnsi="Times New Roman" w:cs="Times New Roman"/>
          <w:b/>
          <w:i/>
          <w:sz w:val="18"/>
          <w:szCs w:val="18"/>
        </w:rPr>
        <w:t xml:space="preserve"> closings and debt collection and defense.</w:t>
      </w:r>
    </w:p>
    <w:p w14:paraId="56342B6F" w14:textId="77777777" w:rsidR="00C350EE" w:rsidRDefault="00C350EE" w:rsidP="005248D7">
      <w:pPr>
        <w:spacing w:after="0" w:line="240" w:lineRule="auto"/>
        <w:jc w:val="both"/>
        <w:rPr>
          <w:rFonts w:ascii="Times New Roman" w:hAnsi="Times New Roman" w:cs="Times New Roman"/>
          <w:b/>
          <w:i/>
          <w:sz w:val="18"/>
          <w:szCs w:val="18"/>
        </w:rPr>
      </w:pPr>
    </w:p>
    <w:p w14:paraId="4D98B778" w14:textId="7359C6FF" w:rsidR="00B80DE7" w:rsidRDefault="00B80DE7" w:rsidP="00C350EE">
      <w:pPr>
        <w:spacing w:after="0" w:line="240" w:lineRule="auto"/>
        <w:jc w:val="center"/>
        <w:rPr>
          <w:rFonts w:ascii="Times New Roman" w:hAnsi="Times New Roman" w:cs="Times New Roman"/>
          <w:b/>
          <w:i/>
          <w:sz w:val="18"/>
          <w:szCs w:val="18"/>
        </w:rPr>
      </w:pPr>
      <w:r w:rsidRPr="00CD2569">
        <w:rPr>
          <w:rFonts w:ascii="Times New Roman" w:hAnsi="Times New Roman" w:cs="Times New Roman"/>
          <w:b/>
          <w:i/>
          <w:sz w:val="18"/>
          <w:szCs w:val="18"/>
        </w:rPr>
        <w:t>The information in this column is general in nature and not intended as legal advice.</w:t>
      </w:r>
    </w:p>
    <w:p w14:paraId="2DA39613" w14:textId="77777777" w:rsidR="005248D7" w:rsidRDefault="005248D7" w:rsidP="005248D7">
      <w:pPr>
        <w:spacing w:after="0" w:line="240" w:lineRule="auto"/>
        <w:jc w:val="both"/>
        <w:rPr>
          <w:rFonts w:ascii="Times New Roman" w:hAnsi="Times New Roman" w:cs="Times New Roman"/>
          <w:b/>
          <w:i/>
          <w:sz w:val="18"/>
          <w:szCs w:val="18"/>
        </w:rPr>
      </w:pPr>
    </w:p>
    <w:p w14:paraId="470AD6A1" w14:textId="53666D6A" w:rsidR="005248D7" w:rsidRPr="005248D7" w:rsidRDefault="005248D7" w:rsidP="005248D7">
      <w:pPr>
        <w:spacing w:after="0" w:line="240" w:lineRule="auto"/>
        <w:jc w:val="both"/>
        <w:rPr>
          <w:rFonts w:ascii="Times New Roman" w:hAnsi="Times New Roman" w:cs="Times New Roman"/>
          <w:sz w:val="18"/>
          <w:szCs w:val="18"/>
        </w:rPr>
      </w:pPr>
    </w:p>
    <w:sectPr w:rsidR="005248D7" w:rsidRPr="005248D7" w:rsidSect="00B80DE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F6C0340-F907-4CA7-807A-29C5D4B22D56}"/>
    <w:docVar w:name="dgnword-drafile" w:val="C:\Users\wgm\AppData\Local\Temp\draF762.tmp"/>
    <w:docVar w:name="dgnword-eventsink" w:val="1765849407280"/>
  </w:docVars>
  <w:rsids>
    <w:rsidRoot w:val="00FF0DE7"/>
    <w:rsid w:val="000B041D"/>
    <w:rsid w:val="001021F0"/>
    <w:rsid w:val="00111082"/>
    <w:rsid w:val="00141C4C"/>
    <w:rsid w:val="00195A3A"/>
    <w:rsid w:val="001C716B"/>
    <w:rsid w:val="0025604E"/>
    <w:rsid w:val="002629FF"/>
    <w:rsid w:val="0028307C"/>
    <w:rsid w:val="00290F54"/>
    <w:rsid w:val="002932E8"/>
    <w:rsid w:val="002E20C7"/>
    <w:rsid w:val="0031267A"/>
    <w:rsid w:val="003538D9"/>
    <w:rsid w:val="00364FB9"/>
    <w:rsid w:val="00402D36"/>
    <w:rsid w:val="00406076"/>
    <w:rsid w:val="0041170F"/>
    <w:rsid w:val="00417D6A"/>
    <w:rsid w:val="004638B4"/>
    <w:rsid w:val="004A27A9"/>
    <w:rsid w:val="004A5BE0"/>
    <w:rsid w:val="004C2D72"/>
    <w:rsid w:val="005248D7"/>
    <w:rsid w:val="0055605F"/>
    <w:rsid w:val="0058350F"/>
    <w:rsid w:val="005E2623"/>
    <w:rsid w:val="006459D9"/>
    <w:rsid w:val="0067381A"/>
    <w:rsid w:val="00695C63"/>
    <w:rsid w:val="006978E9"/>
    <w:rsid w:val="006A3E50"/>
    <w:rsid w:val="006B318B"/>
    <w:rsid w:val="006C2B0C"/>
    <w:rsid w:val="006D57A2"/>
    <w:rsid w:val="006E331D"/>
    <w:rsid w:val="006F5D6F"/>
    <w:rsid w:val="00743C5F"/>
    <w:rsid w:val="0079105A"/>
    <w:rsid w:val="007C72D8"/>
    <w:rsid w:val="008238DB"/>
    <w:rsid w:val="0084278A"/>
    <w:rsid w:val="00861EC9"/>
    <w:rsid w:val="00870296"/>
    <w:rsid w:val="008D2CA0"/>
    <w:rsid w:val="008E2BDD"/>
    <w:rsid w:val="008E4F7E"/>
    <w:rsid w:val="00912B8B"/>
    <w:rsid w:val="00923DA2"/>
    <w:rsid w:val="009356DD"/>
    <w:rsid w:val="00960F83"/>
    <w:rsid w:val="009762D2"/>
    <w:rsid w:val="00983A3B"/>
    <w:rsid w:val="009A0DF3"/>
    <w:rsid w:val="009B7741"/>
    <w:rsid w:val="009D0449"/>
    <w:rsid w:val="00A221A9"/>
    <w:rsid w:val="00A726F3"/>
    <w:rsid w:val="00AB5E85"/>
    <w:rsid w:val="00AD279F"/>
    <w:rsid w:val="00B10A54"/>
    <w:rsid w:val="00B35D13"/>
    <w:rsid w:val="00B77BDE"/>
    <w:rsid w:val="00B80DE7"/>
    <w:rsid w:val="00BD425B"/>
    <w:rsid w:val="00BD7A62"/>
    <w:rsid w:val="00C16BF4"/>
    <w:rsid w:val="00C350EE"/>
    <w:rsid w:val="00C44D93"/>
    <w:rsid w:val="00C46CE6"/>
    <w:rsid w:val="00C540BB"/>
    <w:rsid w:val="00D35B7B"/>
    <w:rsid w:val="00D43C6D"/>
    <w:rsid w:val="00D43ECB"/>
    <w:rsid w:val="00D45AD6"/>
    <w:rsid w:val="00D976B2"/>
    <w:rsid w:val="00DA4CB0"/>
    <w:rsid w:val="00DE1F72"/>
    <w:rsid w:val="00E555E9"/>
    <w:rsid w:val="00EC6895"/>
    <w:rsid w:val="00ED1F75"/>
    <w:rsid w:val="00ED24A1"/>
    <w:rsid w:val="00EE4E76"/>
    <w:rsid w:val="00F003D6"/>
    <w:rsid w:val="00F378AC"/>
    <w:rsid w:val="00F45B25"/>
    <w:rsid w:val="00FB409D"/>
    <w:rsid w:val="00FB7C6A"/>
    <w:rsid w:val="00FE5D7F"/>
    <w:rsid w:val="00FF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5BDB"/>
  <w15:chartTrackingRefBased/>
  <w15:docId w15:val="{7E4E99FE-4964-40B8-AFD5-E1D9F5A3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E7"/>
    <w:rPr>
      <w:rFonts w:eastAsiaTheme="majorEastAsia" w:cstheme="majorBidi"/>
      <w:color w:val="272727" w:themeColor="text1" w:themeTint="D8"/>
    </w:rPr>
  </w:style>
  <w:style w:type="paragraph" w:styleId="Title">
    <w:name w:val="Title"/>
    <w:basedOn w:val="Normal"/>
    <w:next w:val="Normal"/>
    <w:link w:val="TitleChar"/>
    <w:uiPriority w:val="10"/>
    <w:qFormat/>
    <w:rsid w:val="00FF0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E7"/>
    <w:pPr>
      <w:spacing w:before="160"/>
      <w:jc w:val="center"/>
    </w:pPr>
    <w:rPr>
      <w:i/>
      <w:iCs/>
      <w:color w:val="404040" w:themeColor="text1" w:themeTint="BF"/>
    </w:rPr>
  </w:style>
  <w:style w:type="character" w:customStyle="1" w:styleId="QuoteChar">
    <w:name w:val="Quote Char"/>
    <w:basedOn w:val="DefaultParagraphFont"/>
    <w:link w:val="Quote"/>
    <w:uiPriority w:val="29"/>
    <w:rsid w:val="00FF0DE7"/>
    <w:rPr>
      <w:i/>
      <w:iCs/>
      <w:color w:val="404040" w:themeColor="text1" w:themeTint="BF"/>
    </w:rPr>
  </w:style>
  <w:style w:type="paragraph" w:styleId="ListParagraph">
    <w:name w:val="List Paragraph"/>
    <w:basedOn w:val="Normal"/>
    <w:uiPriority w:val="34"/>
    <w:qFormat/>
    <w:rsid w:val="00FF0DE7"/>
    <w:pPr>
      <w:ind w:left="720"/>
      <w:contextualSpacing/>
    </w:pPr>
  </w:style>
  <w:style w:type="character" w:styleId="IntenseEmphasis">
    <w:name w:val="Intense Emphasis"/>
    <w:basedOn w:val="DefaultParagraphFont"/>
    <w:uiPriority w:val="21"/>
    <w:qFormat/>
    <w:rsid w:val="00FF0DE7"/>
    <w:rPr>
      <w:i/>
      <w:iCs/>
      <w:color w:val="0F4761" w:themeColor="accent1" w:themeShade="BF"/>
    </w:rPr>
  </w:style>
  <w:style w:type="paragraph" w:styleId="IntenseQuote">
    <w:name w:val="Intense Quote"/>
    <w:basedOn w:val="Normal"/>
    <w:next w:val="Normal"/>
    <w:link w:val="IntenseQuoteChar"/>
    <w:uiPriority w:val="30"/>
    <w:qFormat/>
    <w:rsid w:val="00FF0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DE7"/>
    <w:rPr>
      <w:i/>
      <w:iCs/>
      <w:color w:val="0F4761" w:themeColor="accent1" w:themeShade="BF"/>
    </w:rPr>
  </w:style>
  <w:style w:type="character" w:styleId="IntenseReference">
    <w:name w:val="Intense Reference"/>
    <w:basedOn w:val="DefaultParagraphFont"/>
    <w:uiPriority w:val="32"/>
    <w:qFormat/>
    <w:rsid w:val="00FF0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Morris</dc:creator>
  <cp:keywords/>
  <dc:description/>
  <cp:lastModifiedBy>Grace Magno-Smith</cp:lastModifiedBy>
  <cp:revision>3</cp:revision>
  <cp:lastPrinted>2026-06-30T21:49:00Z</cp:lastPrinted>
  <dcterms:created xsi:type="dcterms:W3CDTF">2026-07-15T13:20:00Z</dcterms:created>
  <dcterms:modified xsi:type="dcterms:W3CDTF">2026-07-15T13:21:00Z</dcterms:modified>
</cp:coreProperties>
</file>