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817C" w14:textId="77777777" w:rsidR="003A4402" w:rsidRPr="006E0908" w:rsidRDefault="003A4402" w:rsidP="00F84C21">
      <w:pPr>
        <w:spacing w:after="0" w:line="240" w:lineRule="auto"/>
        <w:jc w:val="center"/>
        <w:rPr>
          <w:rFonts w:ascii="Times New Roman" w:hAnsi="Times New Roman" w:cs="Times New Roman"/>
          <w:b/>
          <w:bCs/>
          <w:sz w:val="24"/>
          <w:szCs w:val="24"/>
        </w:rPr>
      </w:pPr>
    </w:p>
    <w:p w14:paraId="663F7E4C" w14:textId="18E16413" w:rsidR="00AA23F3" w:rsidRPr="00AA23F3" w:rsidRDefault="00AA23F3" w:rsidP="00F84C21">
      <w:pPr>
        <w:spacing w:after="0" w:line="240" w:lineRule="auto"/>
        <w:jc w:val="center"/>
        <w:rPr>
          <w:rFonts w:ascii="Times New Roman" w:hAnsi="Times New Roman" w:cs="Times New Roman"/>
          <w:b/>
          <w:bCs/>
          <w:sz w:val="24"/>
          <w:szCs w:val="24"/>
        </w:rPr>
      </w:pPr>
      <w:r w:rsidRPr="00AA23F3">
        <w:rPr>
          <w:rFonts w:ascii="Times New Roman" w:hAnsi="Times New Roman" w:cs="Times New Roman"/>
          <w:b/>
          <w:bCs/>
          <w:sz w:val="24"/>
          <w:szCs w:val="24"/>
        </w:rPr>
        <w:t xml:space="preserve">CONDOMINIUMS HAVE POWER TO COLLECT ASSESSMENTS </w:t>
      </w:r>
    </w:p>
    <w:p w14:paraId="788B0212" w14:textId="495BEA7C" w:rsidR="009B1F91" w:rsidRPr="006E0908" w:rsidRDefault="006B7C56" w:rsidP="00F84C21">
      <w:pPr>
        <w:spacing w:after="0" w:line="240" w:lineRule="auto"/>
        <w:jc w:val="center"/>
        <w:rPr>
          <w:rFonts w:ascii="Times New Roman" w:hAnsi="Times New Roman" w:cs="Times New Roman"/>
          <w:b/>
          <w:bCs/>
          <w:sz w:val="24"/>
          <w:szCs w:val="24"/>
        </w:rPr>
      </w:pPr>
      <w:r w:rsidRPr="006E0908">
        <w:rPr>
          <w:rFonts w:ascii="Times New Roman" w:hAnsi="Times New Roman" w:cs="Times New Roman"/>
          <w:b/>
          <w:bCs/>
          <w:sz w:val="24"/>
          <w:szCs w:val="24"/>
        </w:rPr>
        <w:t>BY: WILLIAM G. MORRIS, ESQ.</w:t>
      </w:r>
    </w:p>
    <w:p w14:paraId="7BB85578" w14:textId="0CAAC633" w:rsidR="002D0A08" w:rsidRPr="006E0908" w:rsidRDefault="002D0A08" w:rsidP="002D0A08">
      <w:pPr>
        <w:spacing w:after="0" w:line="240" w:lineRule="auto"/>
        <w:jc w:val="both"/>
        <w:rPr>
          <w:rFonts w:ascii="Times New Roman" w:hAnsi="Times New Roman" w:cs="Times New Roman"/>
          <w:sz w:val="24"/>
          <w:szCs w:val="24"/>
        </w:rPr>
      </w:pPr>
      <w:r w:rsidRPr="006E0908">
        <w:rPr>
          <w:rFonts w:ascii="Times New Roman" w:hAnsi="Times New Roman" w:cs="Times New Roman"/>
          <w:sz w:val="24"/>
          <w:szCs w:val="24"/>
        </w:rPr>
        <w:t xml:space="preserve">                                      </w:t>
      </w:r>
    </w:p>
    <w:p w14:paraId="57AB8CFB" w14:textId="4DD83674" w:rsidR="00AA23F3" w:rsidRPr="00AA23F3" w:rsidRDefault="00AA23F3" w:rsidP="006B1D4E">
      <w:pPr>
        <w:spacing w:after="0" w:line="240" w:lineRule="auto"/>
        <w:ind w:firstLine="720"/>
        <w:jc w:val="both"/>
        <w:rPr>
          <w:rFonts w:ascii="Times New Roman" w:hAnsi="Times New Roman" w:cs="Times New Roman"/>
          <w:sz w:val="24"/>
          <w:szCs w:val="24"/>
        </w:rPr>
      </w:pPr>
      <w:r w:rsidRPr="00AA23F3">
        <w:rPr>
          <w:rFonts w:ascii="Times New Roman" w:hAnsi="Times New Roman" w:cs="Times New Roman"/>
          <w:sz w:val="24"/>
          <w:szCs w:val="24"/>
        </w:rPr>
        <w:t xml:space="preserve">Florida condominiums are created by </w:t>
      </w:r>
      <w:r w:rsidR="00EE0C07">
        <w:rPr>
          <w:rFonts w:ascii="Times New Roman" w:hAnsi="Times New Roman" w:cs="Times New Roman"/>
          <w:sz w:val="24"/>
          <w:szCs w:val="24"/>
        </w:rPr>
        <w:t xml:space="preserve">a </w:t>
      </w:r>
      <w:r w:rsidR="00D97A69">
        <w:rPr>
          <w:rFonts w:ascii="Times New Roman" w:hAnsi="Times New Roman" w:cs="Times New Roman"/>
          <w:sz w:val="24"/>
          <w:szCs w:val="24"/>
        </w:rPr>
        <w:t>d</w:t>
      </w:r>
      <w:r w:rsidR="00D97A69" w:rsidRPr="00AA23F3">
        <w:rPr>
          <w:rFonts w:ascii="Times New Roman" w:hAnsi="Times New Roman" w:cs="Times New Roman"/>
          <w:sz w:val="24"/>
          <w:szCs w:val="24"/>
        </w:rPr>
        <w:t xml:space="preserve">eclaration of </w:t>
      </w:r>
      <w:r w:rsidR="00D97A69">
        <w:rPr>
          <w:rFonts w:ascii="Times New Roman" w:hAnsi="Times New Roman" w:cs="Times New Roman"/>
          <w:sz w:val="24"/>
          <w:szCs w:val="24"/>
        </w:rPr>
        <w:t>c</w:t>
      </w:r>
      <w:r w:rsidR="00D97A69" w:rsidRPr="00AA23F3">
        <w:rPr>
          <w:rFonts w:ascii="Times New Roman" w:hAnsi="Times New Roman" w:cs="Times New Roman"/>
          <w:sz w:val="24"/>
          <w:szCs w:val="24"/>
        </w:rPr>
        <w:t>ondominium</w:t>
      </w:r>
      <w:r w:rsidRPr="00AA23F3">
        <w:rPr>
          <w:rFonts w:ascii="Times New Roman" w:hAnsi="Times New Roman" w:cs="Times New Roman"/>
          <w:sz w:val="24"/>
          <w:szCs w:val="24"/>
        </w:rPr>
        <w:t>. The declaration must meet requirements set by statute and regulation</w:t>
      </w:r>
      <w:r w:rsidR="005E3057">
        <w:rPr>
          <w:rFonts w:ascii="Times New Roman" w:hAnsi="Times New Roman" w:cs="Times New Roman"/>
          <w:sz w:val="24"/>
          <w:szCs w:val="24"/>
        </w:rPr>
        <w:t>s</w:t>
      </w:r>
      <w:r w:rsidRPr="00AA23F3">
        <w:rPr>
          <w:rFonts w:ascii="Times New Roman" w:hAnsi="Times New Roman" w:cs="Times New Roman"/>
          <w:sz w:val="24"/>
          <w:szCs w:val="24"/>
        </w:rPr>
        <w:t xml:space="preserve"> and be approved by the </w:t>
      </w:r>
      <w:r w:rsidR="00EE0C07">
        <w:rPr>
          <w:rFonts w:ascii="Times New Roman" w:hAnsi="Times New Roman" w:cs="Times New Roman"/>
          <w:sz w:val="24"/>
          <w:szCs w:val="24"/>
        </w:rPr>
        <w:t>S</w:t>
      </w:r>
      <w:r w:rsidRPr="00AA23F3">
        <w:rPr>
          <w:rFonts w:ascii="Times New Roman" w:hAnsi="Times New Roman" w:cs="Times New Roman"/>
          <w:sz w:val="24"/>
          <w:szCs w:val="24"/>
        </w:rPr>
        <w:t xml:space="preserve">tate. Condominium </w:t>
      </w:r>
      <w:r w:rsidR="00D97A69">
        <w:rPr>
          <w:rFonts w:ascii="Times New Roman" w:hAnsi="Times New Roman" w:cs="Times New Roman"/>
          <w:sz w:val="24"/>
          <w:szCs w:val="24"/>
        </w:rPr>
        <w:t>a</w:t>
      </w:r>
      <w:r w:rsidRPr="00AA23F3">
        <w:rPr>
          <w:rFonts w:ascii="Times New Roman" w:hAnsi="Times New Roman" w:cs="Times New Roman"/>
          <w:sz w:val="24"/>
          <w:szCs w:val="24"/>
        </w:rPr>
        <w:t>ssociation rely upon assessments from unit owners to pay the bills. Each declaration of condominium includes provisions addressing assessments b</w:t>
      </w:r>
      <w:r w:rsidR="005E3057">
        <w:rPr>
          <w:rFonts w:ascii="Times New Roman" w:hAnsi="Times New Roman" w:cs="Times New Roman"/>
          <w:sz w:val="24"/>
          <w:szCs w:val="24"/>
        </w:rPr>
        <w:t>ut</w:t>
      </w:r>
      <w:r w:rsidRPr="00AA23F3">
        <w:rPr>
          <w:rFonts w:ascii="Times New Roman" w:hAnsi="Times New Roman" w:cs="Times New Roman"/>
          <w:sz w:val="24"/>
          <w:szCs w:val="24"/>
        </w:rPr>
        <w:t xml:space="preserve"> Florida </w:t>
      </w:r>
      <w:r w:rsidR="00D97A69">
        <w:rPr>
          <w:rFonts w:ascii="Times New Roman" w:hAnsi="Times New Roman" w:cs="Times New Roman"/>
          <w:sz w:val="24"/>
          <w:szCs w:val="24"/>
        </w:rPr>
        <w:t>s</w:t>
      </w:r>
      <w:r w:rsidRPr="00AA23F3">
        <w:rPr>
          <w:rFonts w:ascii="Times New Roman" w:hAnsi="Times New Roman" w:cs="Times New Roman"/>
          <w:sz w:val="24"/>
          <w:szCs w:val="24"/>
        </w:rPr>
        <w:t>tatutes control procedure.</w:t>
      </w:r>
    </w:p>
    <w:p w14:paraId="538D33DB" w14:textId="77777777" w:rsidR="00D97A69" w:rsidRDefault="00D97A69" w:rsidP="00AA23F3">
      <w:pPr>
        <w:spacing w:after="0" w:line="240" w:lineRule="auto"/>
        <w:jc w:val="both"/>
        <w:rPr>
          <w:rFonts w:ascii="Times New Roman" w:hAnsi="Times New Roman" w:cs="Times New Roman"/>
          <w:sz w:val="24"/>
          <w:szCs w:val="24"/>
        </w:rPr>
      </w:pPr>
    </w:p>
    <w:p w14:paraId="6B4C60A8" w14:textId="2A1CF0D3" w:rsidR="00AA23F3" w:rsidRPr="00AA23F3" w:rsidRDefault="00AA23F3" w:rsidP="00D97A69">
      <w:pPr>
        <w:spacing w:after="0" w:line="240" w:lineRule="auto"/>
        <w:ind w:firstLine="720"/>
        <w:jc w:val="both"/>
        <w:rPr>
          <w:rFonts w:ascii="Times New Roman" w:hAnsi="Times New Roman" w:cs="Times New Roman"/>
          <w:sz w:val="24"/>
          <w:szCs w:val="24"/>
        </w:rPr>
      </w:pPr>
      <w:r w:rsidRPr="00AA23F3">
        <w:rPr>
          <w:rFonts w:ascii="Times New Roman" w:hAnsi="Times New Roman" w:cs="Times New Roman"/>
          <w:sz w:val="24"/>
          <w:szCs w:val="24"/>
        </w:rPr>
        <w:t xml:space="preserve">The legislature addresses assessments and liens in some detail. Statutes attempt to provide common procedures and rights </w:t>
      </w:r>
      <w:r w:rsidR="005E3057">
        <w:rPr>
          <w:rFonts w:ascii="Times New Roman" w:hAnsi="Times New Roman" w:cs="Times New Roman"/>
          <w:sz w:val="24"/>
          <w:szCs w:val="24"/>
        </w:rPr>
        <w:t>for</w:t>
      </w:r>
      <w:r w:rsidRPr="00AA23F3">
        <w:rPr>
          <w:rFonts w:ascii="Times New Roman" w:hAnsi="Times New Roman" w:cs="Times New Roman"/>
          <w:sz w:val="24"/>
          <w:szCs w:val="24"/>
        </w:rPr>
        <w:t xml:space="preserve"> both owners and associations, primarily to prevent abuse by associations. Section 718.116 Florida </w:t>
      </w:r>
      <w:r w:rsidR="00D97A69">
        <w:rPr>
          <w:rFonts w:ascii="Times New Roman" w:hAnsi="Times New Roman" w:cs="Times New Roman"/>
          <w:sz w:val="24"/>
          <w:szCs w:val="24"/>
        </w:rPr>
        <w:t>S</w:t>
      </w:r>
      <w:r w:rsidRPr="00AA23F3">
        <w:rPr>
          <w:rFonts w:ascii="Times New Roman" w:hAnsi="Times New Roman" w:cs="Times New Roman"/>
          <w:sz w:val="24"/>
          <w:szCs w:val="24"/>
        </w:rPr>
        <w:t>tatutes is the legislature’s primary effort to address assessments</w:t>
      </w:r>
      <w:r w:rsidR="00D97A69">
        <w:rPr>
          <w:rFonts w:ascii="Times New Roman" w:hAnsi="Times New Roman" w:cs="Times New Roman"/>
          <w:sz w:val="24"/>
          <w:szCs w:val="24"/>
        </w:rPr>
        <w:t>.</w:t>
      </w:r>
    </w:p>
    <w:p w14:paraId="6C250750" w14:textId="77777777" w:rsidR="00AA23F3" w:rsidRPr="00AA23F3" w:rsidRDefault="00AA23F3" w:rsidP="00AA23F3">
      <w:pPr>
        <w:spacing w:after="0" w:line="240" w:lineRule="auto"/>
        <w:jc w:val="both"/>
        <w:rPr>
          <w:rFonts w:ascii="Times New Roman" w:hAnsi="Times New Roman" w:cs="Times New Roman"/>
          <w:sz w:val="24"/>
          <w:szCs w:val="24"/>
        </w:rPr>
      </w:pPr>
    </w:p>
    <w:p w14:paraId="639672AF" w14:textId="1801B3B9" w:rsidR="00AA23F3" w:rsidRPr="00AA23F3" w:rsidRDefault="00AA23F3" w:rsidP="00D97A69">
      <w:pPr>
        <w:spacing w:after="0" w:line="240" w:lineRule="auto"/>
        <w:ind w:firstLine="720"/>
        <w:jc w:val="both"/>
        <w:rPr>
          <w:rFonts w:ascii="Times New Roman" w:hAnsi="Times New Roman" w:cs="Times New Roman"/>
          <w:sz w:val="24"/>
          <w:szCs w:val="24"/>
        </w:rPr>
      </w:pPr>
      <w:r w:rsidRPr="00AA23F3">
        <w:rPr>
          <w:rFonts w:ascii="Times New Roman" w:hAnsi="Times New Roman" w:cs="Times New Roman"/>
          <w:sz w:val="24"/>
          <w:szCs w:val="24"/>
        </w:rPr>
        <w:t xml:space="preserve">The statute confirms that an owner, regardless of how title is acquired, including by </w:t>
      </w:r>
      <w:r w:rsidR="00D97A69">
        <w:rPr>
          <w:rFonts w:ascii="Times New Roman" w:hAnsi="Times New Roman" w:cs="Times New Roman"/>
          <w:sz w:val="24"/>
          <w:szCs w:val="24"/>
        </w:rPr>
        <w:t>p</w:t>
      </w:r>
      <w:r w:rsidRPr="00AA23F3">
        <w:rPr>
          <w:rFonts w:ascii="Times New Roman" w:hAnsi="Times New Roman" w:cs="Times New Roman"/>
          <w:sz w:val="24"/>
          <w:szCs w:val="24"/>
        </w:rPr>
        <w:t>urchase at a foreclosure sale, is liable for all assessments coming due while he or she is the owner and also for all unpaid assessments that came due up to the time the owner acquired title. That can be quite shock</w:t>
      </w:r>
      <w:r w:rsidR="005E3057">
        <w:rPr>
          <w:rFonts w:ascii="Times New Roman" w:hAnsi="Times New Roman" w:cs="Times New Roman"/>
          <w:sz w:val="24"/>
          <w:szCs w:val="24"/>
        </w:rPr>
        <w:t>ing to</w:t>
      </w:r>
      <w:r w:rsidRPr="00AA23F3">
        <w:rPr>
          <w:rFonts w:ascii="Times New Roman" w:hAnsi="Times New Roman" w:cs="Times New Roman"/>
          <w:sz w:val="24"/>
          <w:szCs w:val="24"/>
        </w:rPr>
        <w:t xml:space="preserve"> someone who buys property at a mortgage foreclosure and later finds that there is a substantial unpaid assessment balance due the association. The statute does carve out a</w:t>
      </w:r>
      <w:r w:rsidR="0092156F">
        <w:rPr>
          <w:rFonts w:ascii="Times New Roman" w:hAnsi="Times New Roman" w:cs="Times New Roman"/>
          <w:sz w:val="24"/>
          <w:szCs w:val="24"/>
        </w:rPr>
        <w:t>n</w:t>
      </w:r>
      <w:r w:rsidRPr="00AA23F3">
        <w:rPr>
          <w:rFonts w:ascii="Times New Roman" w:hAnsi="Times New Roman" w:cs="Times New Roman"/>
          <w:sz w:val="24"/>
          <w:szCs w:val="24"/>
        </w:rPr>
        <w:t xml:space="preserve"> exception for</w:t>
      </w:r>
      <w:r w:rsidR="005E3057">
        <w:rPr>
          <w:rFonts w:ascii="Times New Roman" w:hAnsi="Times New Roman" w:cs="Times New Roman"/>
          <w:sz w:val="24"/>
          <w:szCs w:val="24"/>
        </w:rPr>
        <w:t xml:space="preserve"> first</w:t>
      </w:r>
      <w:r w:rsidRPr="00AA23F3">
        <w:rPr>
          <w:rFonts w:ascii="Times New Roman" w:hAnsi="Times New Roman" w:cs="Times New Roman"/>
          <w:sz w:val="24"/>
          <w:szCs w:val="24"/>
        </w:rPr>
        <w:t xml:space="preserve"> mortgage holders acquir</w:t>
      </w:r>
      <w:r w:rsidR="005E3057">
        <w:rPr>
          <w:rFonts w:ascii="Times New Roman" w:hAnsi="Times New Roman" w:cs="Times New Roman"/>
          <w:sz w:val="24"/>
          <w:szCs w:val="24"/>
        </w:rPr>
        <w:t>ing</w:t>
      </w:r>
      <w:r w:rsidRPr="00AA23F3">
        <w:rPr>
          <w:rFonts w:ascii="Times New Roman" w:hAnsi="Times New Roman" w:cs="Times New Roman"/>
          <w:sz w:val="24"/>
          <w:szCs w:val="24"/>
        </w:rPr>
        <w:t xml:space="preserve"> title through foreclosure, limiting the mortgage </w:t>
      </w:r>
      <w:r w:rsidR="0092156F" w:rsidRPr="00AA23F3">
        <w:rPr>
          <w:rFonts w:ascii="Times New Roman" w:hAnsi="Times New Roman" w:cs="Times New Roman"/>
          <w:sz w:val="24"/>
          <w:szCs w:val="24"/>
        </w:rPr>
        <w:t>holder’s</w:t>
      </w:r>
      <w:r w:rsidRPr="00AA23F3">
        <w:rPr>
          <w:rFonts w:ascii="Times New Roman" w:hAnsi="Times New Roman" w:cs="Times New Roman"/>
          <w:sz w:val="24"/>
          <w:szCs w:val="24"/>
        </w:rPr>
        <w:t xml:space="preserve"> liability for assessments that became due before the mortgagee acquired title to the lesser of 12 months of assessments or 1% of the original mortgage debt. But, even a mortgagee acquiring title is responsible for assessments that come due after acquiring title.</w:t>
      </w:r>
    </w:p>
    <w:p w14:paraId="1DBA8FB3" w14:textId="77777777" w:rsidR="00AA23F3" w:rsidRPr="00AA23F3" w:rsidRDefault="00AA23F3" w:rsidP="00AA23F3">
      <w:pPr>
        <w:spacing w:after="0" w:line="240" w:lineRule="auto"/>
        <w:jc w:val="both"/>
        <w:rPr>
          <w:rFonts w:ascii="Times New Roman" w:hAnsi="Times New Roman" w:cs="Times New Roman"/>
          <w:sz w:val="24"/>
          <w:szCs w:val="24"/>
        </w:rPr>
      </w:pPr>
    </w:p>
    <w:p w14:paraId="19277DA0" w14:textId="54420697" w:rsidR="00AA23F3" w:rsidRPr="00AA23F3" w:rsidRDefault="00AA23F3" w:rsidP="0092156F">
      <w:pPr>
        <w:spacing w:after="0" w:line="240" w:lineRule="auto"/>
        <w:ind w:firstLine="720"/>
        <w:jc w:val="both"/>
        <w:rPr>
          <w:rFonts w:ascii="Times New Roman" w:hAnsi="Times New Roman" w:cs="Times New Roman"/>
          <w:sz w:val="24"/>
          <w:szCs w:val="24"/>
        </w:rPr>
      </w:pPr>
      <w:r w:rsidRPr="00AA23F3">
        <w:rPr>
          <w:rFonts w:ascii="Times New Roman" w:hAnsi="Times New Roman" w:cs="Times New Roman"/>
          <w:sz w:val="24"/>
          <w:szCs w:val="24"/>
        </w:rPr>
        <w:t xml:space="preserve">Assessments not paid when due bear interest at the rate provided in the declaration. </w:t>
      </w:r>
      <w:r w:rsidR="005E3057">
        <w:rPr>
          <w:rFonts w:ascii="Times New Roman" w:hAnsi="Times New Roman" w:cs="Times New Roman"/>
          <w:sz w:val="24"/>
          <w:szCs w:val="24"/>
        </w:rPr>
        <w:t>If t</w:t>
      </w:r>
      <w:r w:rsidRPr="00AA23F3">
        <w:rPr>
          <w:rFonts w:ascii="Times New Roman" w:hAnsi="Times New Roman" w:cs="Times New Roman"/>
          <w:sz w:val="24"/>
          <w:szCs w:val="24"/>
        </w:rPr>
        <w:t xml:space="preserve">he declaration does not provide a rate, interest accrues at 18% per year. Many associations simply apply that 18% figure to delinquent assessments without reading their own declarations. </w:t>
      </w:r>
      <w:r w:rsidR="005E3057">
        <w:rPr>
          <w:rFonts w:ascii="Times New Roman" w:hAnsi="Times New Roman" w:cs="Times New Roman"/>
          <w:sz w:val="24"/>
          <w:szCs w:val="24"/>
        </w:rPr>
        <w:t>Some of the</w:t>
      </w:r>
      <w:r w:rsidRPr="00AA23F3">
        <w:rPr>
          <w:rFonts w:ascii="Times New Roman" w:hAnsi="Times New Roman" w:cs="Times New Roman"/>
          <w:sz w:val="24"/>
          <w:szCs w:val="24"/>
        </w:rPr>
        <w:t xml:space="preserve"> older declarations </w:t>
      </w:r>
      <w:r w:rsidR="005E3057">
        <w:rPr>
          <w:rFonts w:ascii="Times New Roman" w:hAnsi="Times New Roman" w:cs="Times New Roman"/>
          <w:sz w:val="24"/>
          <w:szCs w:val="24"/>
        </w:rPr>
        <w:t xml:space="preserve">set </w:t>
      </w:r>
      <w:r w:rsidRPr="00AA23F3">
        <w:rPr>
          <w:rFonts w:ascii="Times New Roman" w:hAnsi="Times New Roman" w:cs="Times New Roman"/>
          <w:sz w:val="24"/>
          <w:szCs w:val="24"/>
        </w:rPr>
        <w:t xml:space="preserve">interest at 6% or less. </w:t>
      </w:r>
      <w:r w:rsidR="005E3057">
        <w:rPr>
          <w:rFonts w:ascii="Times New Roman" w:hAnsi="Times New Roman" w:cs="Times New Roman"/>
          <w:sz w:val="24"/>
          <w:szCs w:val="24"/>
        </w:rPr>
        <w:t>T</w:t>
      </w:r>
      <w:r w:rsidRPr="00AA23F3">
        <w:rPr>
          <w:rFonts w:ascii="Times New Roman" w:hAnsi="Times New Roman" w:cs="Times New Roman"/>
          <w:sz w:val="24"/>
          <w:szCs w:val="24"/>
        </w:rPr>
        <w:t>he statute allows late fees but</w:t>
      </w:r>
      <w:r w:rsidR="005E3057">
        <w:rPr>
          <w:rFonts w:ascii="Times New Roman" w:hAnsi="Times New Roman" w:cs="Times New Roman"/>
          <w:sz w:val="24"/>
          <w:szCs w:val="24"/>
        </w:rPr>
        <w:t xml:space="preserve"> caps</w:t>
      </w:r>
      <w:r w:rsidRPr="00AA23F3">
        <w:rPr>
          <w:rFonts w:ascii="Times New Roman" w:hAnsi="Times New Roman" w:cs="Times New Roman"/>
          <w:sz w:val="24"/>
          <w:szCs w:val="24"/>
        </w:rPr>
        <w:t xml:space="preserve"> those fees at the greater of $25 or 5% of each delinquent assessment. To avoid argument, the statute also provides that any payment received by an association must first be applied to accrued interest, then late fees, then to costs and reasonable attorney’s fees of collection, and only after all of those items are paid to the delinquent assessment.</w:t>
      </w:r>
    </w:p>
    <w:p w14:paraId="1B0B346D" w14:textId="77777777" w:rsidR="00AA23F3" w:rsidRPr="00AA23F3" w:rsidRDefault="00AA23F3" w:rsidP="00AA23F3">
      <w:pPr>
        <w:spacing w:after="0" w:line="240" w:lineRule="auto"/>
        <w:jc w:val="both"/>
        <w:rPr>
          <w:rFonts w:ascii="Times New Roman" w:hAnsi="Times New Roman" w:cs="Times New Roman"/>
          <w:sz w:val="24"/>
          <w:szCs w:val="24"/>
        </w:rPr>
      </w:pPr>
    </w:p>
    <w:p w14:paraId="30B0C677" w14:textId="77777777" w:rsidR="005E3057" w:rsidRDefault="00AA23F3" w:rsidP="00E064AB">
      <w:pPr>
        <w:spacing w:after="0" w:line="240" w:lineRule="auto"/>
        <w:ind w:firstLine="720"/>
        <w:jc w:val="both"/>
        <w:rPr>
          <w:rFonts w:ascii="Times New Roman" w:hAnsi="Times New Roman" w:cs="Times New Roman"/>
          <w:sz w:val="24"/>
          <w:szCs w:val="24"/>
        </w:rPr>
      </w:pPr>
      <w:r w:rsidRPr="00AA23F3">
        <w:rPr>
          <w:rFonts w:ascii="Times New Roman" w:hAnsi="Times New Roman" w:cs="Times New Roman"/>
          <w:sz w:val="24"/>
          <w:szCs w:val="24"/>
        </w:rPr>
        <w:t xml:space="preserve">The statute confirms that associations have a lien on each parcel to secure payment of assessments. </w:t>
      </w:r>
      <w:r w:rsidR="005E3057">
        <w:rPr>
          <w:rFonts w:ascii="Times New Roman" w:hAnsi="Times New Roman" w:cs="Times New Roman"/>
          <w:sz w:val="24"/>
          <w:szCs w:val="24"/>
        </w:rPr>
        <w:t>The</w:t>
      </w:r>
      <w:r w:rsidRPr="00AA23F3">
        <w:rPr>
          <w:rFonts w:ascii="Times New Roman" w:hAnsi="Times New Roman" w:cs="Times New Roman"/>
          <w:sz w:val="24"/>
          <w:szCs w:val="24"/>
        </w:rPr>
        <w:t xml:space="preserve"> lien must be recorded in the public records</w:t>
      </w:r>
      <w:r w:rsidR="005E3057">
        <w:rPr>
          <w:rFonts w:ascii="Times New Roman" w:hAnsi="Times New Roman" w:cs="Times New Roman"/>
          <w:sz w:val="24"/>
          <w:szCs w:val="24"/>
        </w:rPr>
        <w:t xml:space="preserve"> to be valid</w:t>
      </w:r>
      <w:r w:rsidRPr="00AA23F3">
        <w:rPr>
          <w:rFonts w:ascii="Times New Roman" w:hAnsi="Times New Roman" w:cs="Times New Roman"/>
          <w:sz w:val="24"/>
          <w:szCs w:val="24"/>
        </w:rPr>
        <w:t xml:space="preserve">. The lien must describe the condominium parcel, the name and address of the association, the amount due and the due dates. A lien is only effective for one year after recordation, unless within that time the association files suit to foreclose the lien. </w:t>
      </w:r>
    </w:p>
    <w:p w14:paraId="76DE531A" w14:textId="77777777" w:rsidR="005E3057" w:rsidRDefault="005E3057" w:rsidP="00E064AB">
      <w:pPr>
        <w:spacing w:after="0" w:line="240" w:lineRule="auto"/>
        <w:ind w:firstLine="720"/>
        <w:jc w:val="both"/>
        <w:rPr>
          <w:rFonts w:ascii="Times New Roman" w:hAnsi="Times New Roman" w:cs="Times New Roman"/>
          <w:sz w:val="24"/>
          <w:szCs w:val="24"/>
        </w:rPr>
      </w:pPr>
    </w:p>
    <w:p w14:paraId="17E6F026" w14:textId="08BA871F" w:rsidR="00AA23F3" w:rsidRPr="00AA23F3" w:rsidRDefault="00AA23F3" w:rsidP="00E064AB">
      <w:pPr>
        <w:spacing w:after="0" w:line="240" w:lineRule="auto"/>
        <w:ind w:firstLine="720"/>
        <w:jc w:val="both"/>
        <w:rPr>
          <w:rFonts w:ascii="Times New Roman" w:hAnsi="Times New Roman" w:cs="Times New Roman"/>
          <w:sz w:val="24"/>
          <w:szCs w:val="24"/>
        </w:rPr>
      </w:pPr>
      <w:r w:rsidRPr="00AA23F3">
        <w:rPr>
          <w:rFonts w:ascii="Times New Roman" w:hAnsi="Times New Roman" w:cs="Times New Roman"/>
          <w:sz w:val="24"/>
          <w:szCs w:val="24"/>
        </w:rPr>
        <w:t xml:space="preserve">An association lien is </w:t>
      </w:r>
      <w:r w:rsidR="00E064AB" w:rsidRPr="00AA23F3">
        <w:rPr>
          <w:rFonts w:ascii="Times New Roman" w:hAnsi="Times New Roman" w:cs="Times New Roman"/>
          <w:sz w:val="24"/>
          <w:szCs w:val="24"/>
        </w:rPr>
        <w:t>for</w:t>
      </w:r>
      <w:r w:rsidR="00E064AB">
        <w:rPr>
          <w:rFonts w:ascii="Times New Roman" w:hAnsi="Times New Roman" w:cs="Times New Roman"/>
          <w:sz w:val="24"/>
          <w:szCs w:val="24"/>
        </w:rPr>
        <w:t>e</w:t>
      </w:r>
      <w:r w:rsidR="00E064AB" w:rsidRPr="00AA23F3">
        <w:rPr>
          <w:rFonts w:ascii="Times New Roman" w:hAnsi="Times New Roman" w:cs="Times New Roman"/>
          <w:sz w:val="24"/>
          <w:szCs w:val="24"/>
        </w:rPr>
        <w:t>closed</w:t>
      </w:r>
      <w:r w:rsidRPr="00AA23F3">
        <w:rPr>
          <w:rFonts w:ascii="Times New Roman" w:hAnsi="Times New Roman" w:cs="Times New Roman"/>
          <w:sz w:val="24"/>
          <w:szCs w:val="24"/>
        </w:rPr>
        <w:t xml:space="preserve"> just like a mortgage. As an alternative, the association can sue the owner for unpaid assessments without waiving any claim of lien. The association is entitled to reasonable attorney’s fees in either a lien foreclosure or an action for unpaid assessments.</w:t>
      </w:r>
    </w:p>
    <w:p w14:paraId="11979E46" w14:textId="77777777" w:rsidR="00AA23F3" w:rsidRPr="00AA23F3" w:rsidRDefault="00AA23F3" w:rsidP="00AA23F3">
      <w:pPr>
        <w:spacing w:after="0" w:line="240" w:lineRule="auto"/>
        <w:jc w:val="both"/>
        <w:rPr>
          <w:rFonts w:ascii="Times New Roman" w:hAnsi="Times New Roman" w:cs="Times New Roman"/>
          <w:sz w:val="24"/>
          <w:szCs w:val="24"/>
        </w:rPr>
      </w:pPr>
    </w:p>
    <w:p w14:paraId="009FAD50" w14:textId="1B0A4948" w:rsidR="00AA23F3" w:rsidRPr="00AA23F3" w:rsidRDefault="00AA23F3" w:rsidP="00E064AB">
      <w:pPr>
        <w:spacing w:after="0" w:line="240" w:lineRule="auto"/>
        <w:ind w:firstLine="720"/>
        <w:jc w:val="both"/>
        <w:rPr>
          <w:rFonts w:ascii="Times New Roman" w:hAnsi="Times New Roman" w:cs="Times New Roman"/>
          <w:sz w:val="24"/>
          <w:szCs w:val="24"/>
        </w:rPr>
      </w:pPr>
      <w:r w:rsidRPr="00AA23F3">
        <w:rPr>
          <w:rFonts w:ascii="Times New Roman" w:hAnsi="Times New Roman" w:cs="Times New Roman"/>
          <w:sz w:val="24"/>
          <w:szCs w:val="24"/>
        </w:rPr>
        <w:t xml:space="preserve">The legislature went out of its way to make sure unit owners get </w:t>
      </w:r>
      <w:proofErr w:type="gramStart"/>
      <w:r w:rsidRPr="00AA23F3">
        <w:rPr>
          <w:rFonts w:ascii="Times New Roman" w:hAnsi="Times New Roman" w:cs="Times New Roman"/>
          <w:sz w:val="24"/>
          <w:szCs w:val="24"/>
        </w:rPr>
        <w:t>told</w:t>
      </w:r>
      <w:proofErr w:type="gramEnd"/>
      <w:r w:rsidRPr="00AA23F3">
        <w:rPr>
          <w:rFonts w:ascii="Times New Roman" w:hAnsi="Times New Roman" w:cs="Times New Roman"/>
          <w:sz w:val="24"/>
          <w:szCs w:val="24"/>
        </w:rPr>
        <w:t xml:space="preserve"> about assessments, potential liens and risks of nonpayment before an association can pursue collection. The statutes require the Association send an invoice for assessments to the unit owner address maintained in the Association’s official records. An association cannot require payment of attorney’s fees related to a past due assessment without first delivering a written notice of late assessment to the unit owner which specifies the amount owed the association and provides opportunity to pay without </w:t>
      </w:r>
      <w:r w:rsidRPr="00AA23F3">
        <w:rPr>
          <w:rFonts w:ascii="Times New Roman" w:hAnsi="Times New Roman" w:cs="Times New Roman"/>
          <w:sz w:val="24"/>
          <w:szCs w:val="24"/>
        </w:rPr>
        <w:lastRenderedPageBreak/>
        <w:t>the assessment of attorney fees. That notice of late assessment must be sent to the owner’s address in the association’s records and, if the address is not the unit, must also be sent by first-class mail to the unit.</w:t>
      </w:r>
    </w:p>
    <w:p w14:paraId="6943ACF6" w14:textId="77777777" w:rsidR="004B66F1" w:rsidRDefault="004B66F1" w:rsidP="00AA23F3">
      <w:pPr>
        <w:spacing w:after="0" w:line="240" w:lineRule="auto"/>
        <w:jc w:val="both"/>
        <w:rPr>
          <w:rFonts w:ascii="Times New Roman" w:hAnsi="Times New Roman" w:cs="Times New Roman"/>
          <w:sz w:val="24"/>
          <w:szCs w:val="24"/>
        </w:rPr>
      </w:pPr>
    </w:p>
    <w:p w14:paraId="08C88D4A" w14:textId="7A13102E" w:rsidR="00AA23F3" w:rsidRPr="00AA23F3" w:rsidRDefault="00AA23F3" w:rsidP="004B66F1">
      <w:pPr>
        <w:spacing w:after="0" w:line="240" w:lineRule="auto"/>
        <w:ind w:firstLine="720"/>
        <w:jc w:val="both"/>
        <w:rPr>
          <w:rFonts w:ascii="Times New Roman" w:hAnsi="Times New Roman" w:cs="Times New Roman"/>
          <w:sz w:val="24"/>
          <w:szCs w:val="24"/>
        </w:rPr>
      </w:pPr>
      <w:r w:rsidRPr="00AA23F3">
        <w:rPr>
          <w:rFonts w:ascii="Times New Roman" w:hAnsi="Times New Roman" w:cs="Times New Roman"/>
          <w:sz w:val="24"/>
          <w:szCs w:val="24"/>
        </w:rPr>
        <w:t xml:space="preserve">The association is prohibited from filing a lien foreclosure suit against the condominium unit until 45 days after it sends the unit owner </w:t>
      </w:r>
      <w:r w:rsidR="005E3057">
        <w:rPr>
          <w:rFonts w:ascii="Times New Roman" w:hAnsi="Times New Roman" w:cs="Times New Roman"/>
          <w:sz w:val="24"/>
          <w:szCs w:val="24"/>
        </w:rPr>
        <w:t xml:space="preserve">certified mail </w:t>
      </w:r>
      <w:r w:rsidRPr="00AA23F3">
        <w:rPr>
          <w:rFonts w:ascii="Times New Roman" w:hAnsi="Times New Roman" w:cs="Times New Roman"/>
          <w:sz w:val="24"/>
          <w:szCs w:val="24"/>
        </w:rPr>
        <w:t xml:space="preserve">notice of intent to file </w:t>
      </w:r>
      <w:r w:rsidR="004B66F1" w:rsidRPr="00AA23F3">
        <w:rPr>
          <w:rFonts w:ascii="Times New Roman" w:hAnsi="Times New Roman" w:cs="Times New Roman"/>
          <w:sz w:val="24"/>
          <w:szCs w:val="24"/>
        </w:rPr>
        <w:t>foreclosure</w:t>
      </w:r>
      <w:r w:rsidRPr="00AA23F3">
        <w:rPr>
          <w:rFonts w:ascii="Times New Roman" w:hAnsi="Times New Roman" w:cs="Times New Roman"/>
          <w:sz w:val="24"/>
          <w:szCs w:val="24"/>
        </w:rPr>
        <w:t xml:space="preserve">. That notice must be sent to the owner at the owner’s address in the association’s records and, if not the unit address, also by first-class mail to the unit. If the association has not sent the notice of late assessment, even if it hires a lawyer to send the pre-lien notice, </w:t>
      </w:r>
      <w:r w:rsidR="005E3057">
        <w:rPr>
          <w:rFonts w:ascii="Times New Roman" w:hAnsi="Times New Roman" w:cs="Times New Roman"/>
          <w:sz w:val="24"/>
          <w:szCs w:val="24"/>
        </w:rPr>
        <w:t xml:space="preserve">it </w:t>
      </w:r>
      <w:r w:rsidRPr="00AA23F3">
        <w:rPr>
          <w:rFonts w:ascii="Times New Roman" w:hAnsi="Times New Roman" w:cs="Times New Roman"/>
          <w:sz w:val="24"/>
          <w:szCs w:val="24"/>
        </w:rPr>
        <w:t xml:space="preserve">cannot charge the owner attorney’s fees if the amount due the association is paid during the </w:t>
      </w:r>
      <w:r w:rsidR="004B66F1" w:rsidRPr="00AA23F3">
        <w:rPr>
          <w:rFonts w:ascii="Times New Roman" w:hAnsi="Times New Roman" w:cs="Times New Roman"/>
          <w:sz w:val="24"/>
          <w:szCs w:val="24"/>
        </w:rPr>
        <w:t>45-day</w:t>
      </w:r>
      <w:r w:rsidRPr="00AA23F3">
        <w:rPr>
          <w:rFonts w:ascii="Times New Roman" w:hAnsi="Times New Roman" w:cs="Times New Roman"/>
          <w:sz w:val="24"/>
          <w:szCs w:val="24"/>
        </w:rPr>
        <w:t xml:space="preserve"> pre-foreclosure notice period. </w:t>
      </w:r>
    </w:p>
    <w:p w14:paraId="10E0FE58" w14:textId="77777777" w:rsidR="00AA23F3" w:rsidRPr="00AA23F3" w:rsidRDefault="00AA23F3" w:rsidP="00AA23F3">
      <w:pPr>
        <w:spacing w:after="0" w:line="240" w:lineRule="auto"/>
        <w:jc w:val="both"/>
        <w:rPr>
          <w:rFonts w:ascii="Times New Roman" w:hAnsi="Times New Roman" w:cs="Times New Roman"/>
          <w:sz w:val="24"/>
          <w:szCs w:val="24"/>
        </w:rPr>
      </w:pPr>
    </w:p>
    <w:p w14:paraId="228A2643" w14:textId="768C61F8" w:rsidR="00AA23F3" w:rsidRPr="00AA23F3" w:rsidRDefault="00AA23F3" w:rsidP="004B66F1">
      <w:pPr>
        <w:spacing w:after="0" w:line="240" w:lineRule="auto"/>
        <w:ind w:firstLine="720"/>
        <w:jc w:val="both"/>
        <w:rPr>
          <w:rFonts w:ascii="Times New Roman" w:hAnsi="Times New Roman" w:cs="Times New Roman"/>
          <w:sz w:val="24"/>
          <w:szCs w:val="24"/>
        </w:rPr>
      </w:pPr>
      <w:r w:rsidRPr="00AA23F3">
        <w:rPr>
          <w:rFonts w:ascii="Times New Roman" w:hAnsi="Times New Roman" w:cs="Times New Roman"/>
          <w:sz w:val="24"/>
          <w:szCs w:val="24"/>
        </w:rPr>
        <w:t xml:space="preserve">If the association does not timely provide the </w:t>
      </w:r>
      <w:r w:rsidR="004B66F1" w:rsidRPr="00AA23F3">
        <w:rPr>
          <w:rFonts w:ascii="Times New Roman" w:hAnsi="Times New Roman" w:cs="Times New Roman"/>
          <w:sz w:val="24"/>
          <w:szCs w:val="24"/>
        </w:rPr>
        <w:t>45-day</w:t>
      </w:r>
      <w:r w:rsidRPr="00AA23F3">
        <w:rPr>
          <w:rFonts w:ascii="Times New Roman" w:hAnsi="Times New Roman" w:cs="Times New Roman"/>
          <w:sz w:val="24"/>
          <w:szCs w:val="24"/>
        </w:rPr>
        <w:t xml:space="preserve"> pre-foreclosure notice, the association </w:t>
      </w:r>
      <w:r w:rsidR="005E3057">
        <w:rPr>
          <w:rFonts w:ascii="Times New Roman" w:hAnsi="Times New Roman" w:cs="Times New Roman"/>
          <w:sz w:val="24"/>
          <w:szCs w:val="24"/>
        </w:rPr>
        <w:t>is also barred from recovery of</w:t>
      </w:r>
      <w:r w:rsidRPr="00AA23F3">
        <w:rPr>
          <w:rFonts w:ascii="Times New Roman" w:hAnsi="Times New Roman" w:cs="Times New Roman"/>
          <w:sz w:val="24"/>
          <w:szCs w:val="24"/>
        </w:rPr>
        <w:t xml:space="preserve"> attorney fees or costs if the owner pays all assessments due the association prior to entry of foreclosure judgment by the court.</w:t>
      </w:r>
    </w:p>
    <w:p w14:paraId="28EAA196" w14:textId="77777777" w:rsidR="00AA23F3" w:rsidRPr="00AA23F3" w:rsidRDefault="00AA23F3" w:rsidP="00AA23F3">
      <w:pPr>
        <w:spacing w:after="0" w:line="240" w:lineRule="auto"/>
        <w:jc w:val="both"/>
        <w:rPr>
          <w:rFonts w:ascii="Times New Roman" w:hAnsi="Times New Roman" w:cs="Times New Roman"/>
          <w:sz w:val="24"/>
          <w:szCs w:val="24"/>
        </w:rPr>
      </w:pPr>
    </w:p>
    <w:p w14:paraId="4C45AD07" w14:textId="3251DD59" w:rsidR="00AA23F3" w:rsidRPr="00AA23F3" w:rsidRDefault="00AA23F3" w:rsidP="004B66F1">
      <w:pPr>
        <w:spacing w:after="0" w:line="240" w:lineRule="auto"/>
        <w:ind w:firstLine="720"/>
        <w:jc w:val="both"/>
        <w:rPr>
          <w:rFonts w:ascii="Times New Roman" w:hAnsi="Times New Roman" w:cs="Times New Roman"/>
          <w:sz w:val="24"/>
          <w:szCs w:val="24"/>
        </w:rPr>
      </w:pPr>
      <w:r w:rsidRPr="00AA23F3">
        <w:rPr>
          <w:rFonts w:ascii="Times New Roman" w:hAnsi="Times New Roman" w:cs="Times New Roman"/>
          <w:sz w:val="24"/>
          <w:szCs w:val="24"/>
        </w:rPr>
        <w:t xml:space="preserve">The legislature’s primary intent through the statutes is to protect owners by requiring associations give owners lots of notice before pursuing collection. The legislature did not overlook the possibility of an abusive owner. If </w:t>
      </w:r>
      <w:r w:rsidR="004B66F1" w:rsidRPr="00AA23F3">
        <w:rPr>
          <w:rFonts w:ascii="Times New Roman" w:hAnsi="Times New Roman" w:cs="Times New Roman"/>
          <w:sz w:val="24"/>
          <w:szCs w:val="24"/>
        </w:rPr>
        <w:t>a</w:t>
      </w:r>
      <w:r w:rsidRPr="00AA23F3">
        <w:rPr>
          <w:rFonts w:ascii="Times New Roman" w:hAnsi="Times New Roman" w:cs="Times New Roman"/>
          <w:sz w:val="24"/>
          <w:szCs w:val="24"/>
        </w:rPr>
        <w:t xml:space="preserve"> delinquent owner has a tenant, the association can serve the tenant with a notice requiring the tenant to pay rent to the Association instead of to the owner. The tenant is immune from liability to the owner from paying rent to the association. If the tenant does not pay rent to the association as it comes due, the association can evict the tenant just like an owner.</w:t>
      </w:r>
    </w:p>
    <w:p w14:paraId="280BCA36" w14:textId="77777777" w:rsidR="00AA23F3" w:rsidRPr="00AA23F3" w:rsidRDefault="00AA23F3" w:rsidP="00AA23F3">
      <w:pPr>
        <w:spacing w:after="0" w:line="240" w:lineRule="auto"/>
        <w:jc w:val="both"/>
        <w:rPr>
          <w:rFonts w:ascii="Times New Roman" w:hAnsi="Times New Roman" w:cs="Times New Roman"/>
          <w:sz w:val="24"/>
          <w:szCs w:val="24"/>
        </w:rPr>
      </w:pPr>
    </w:p>
    <w:p w14:paraId="6759418C" w14:textId="2C73FB2A" w:rsidR="00AA23F3" w:rsidRPr="00AA23F3" w:rsidRDefault="00AA23F3" w:rsidP="004B66F1">
      <w:pPr>
        <w:spacing w:after="0" w:line="240" w:lineRule="auto"/>
        <w:ind w:firstLine="720"/>
        <w:jc w:val="both"/>
        <w:rPr>
          <w:rFonts w:ascii="Times New Roman" w:hAnsi="Times New Roman" w:cs="Times New Roman"/>
          <w:sz w:val="24"/>
          <w:szCs w:val="24"/>
        </w:rPr>
      </w:pPr>
      <w:r w:rsidRPr="00AA23F3">
        <w:rPr>
          <w:rFonts w:ascii="Times New Roman" w:hAnsi="Times New Roman" w:cs="Times New Roman"/>
          <w:sz w:val="24"/>
          <w:szCs w:val="24"/>
        </w:rPr>
        <w:t>If there is a tenant in the unit during a lien foreclosure, the association can ask the court to ap</w:t>
      </w:r>
      <w:r w:rsidR="004B66F1">
        <w:rPr>
          <w:rFonts w:ascii="Times New Roman" w:hAnsi="Times New Roman" w:cs="Times New Roman"/>
          <w:sz w:val="24"/>
          <w:szCs w:val="24"/>
        </w:rPr>
        <w:t>p</w:t>
      </w:r>
      <w:r w:rsidRPr="00AA23F3">
        <w:rPr>
          <w:rFonts w:ascii="Times New Roman" w:hAnsi="Times New Roman" w:cs="Times New Roman"/>
          <w:sz w:val="24"/>
          <w:szCs w:val="24"/>
        </w:rPr>
        <w:t>oint a receiver to collect the rent. If the owner remains in possession of the unit after foreclosure judgment, the court can require the owner to pay rent for the unit.</w:t>
      </w:r>
    </w:p>
    <w:p w14:paraId="66348015" w14:textId="77777777" w:rsidR="00AA23F3" w:rsidRPr="00AA23F3" w:rsidRDefault="00AA23F3" w:rsidP="00AA23F3">
      <w:pPr>
        <w:spacing w:after="0" w:line="240" w:lineRule="auto"/>
        <w:jc w:val="both"/>
        <w:rPr>
          <w:rFonts w:ascii="Times New Roman" w:hAnsi="Times New Roman" w:cs="Times New Roman"/>
          <w:sz w:val="24"/>
          <w:szCs w:val="24"/>
        </w:rPr>
      </w:pPr>
    </w:p>
    <w:p w14:paraId="072298DF" w14:textId="79BE7F35" w:rsidR="00AA23F3" w:rsidRPr="00AA23F3" w:rsidRDefault="00AA23F3" w:rsidP="004B66F1">
      <w:pPr>
        <w:spacing w:after="0" w:line="240" w:lineRule="auto"/>
        <w:ind w:firstLine="720"/>
        <w:jc w:val="both"/>
        <w:rPr>
          <w:rFonts w:ascii="Times New Roman" w:hAnsi="Times New Roman" w:cs="Times New Roman"/>
          <w:sz w:val="24"/>
          <w:szCs w:val="24"/>
        </w:rPr>
      </w:pPr>
      <w:r w:rsidRPr="00AA23F3">
        <w:rPr>
          <w:rFonts w:ascii="Times New Roman" w:hAnsi="Times New Roman" w:cs="Times New Roman"/>
          <w:sz w:val="24"/>
          <w:szCs w:val="24"/>
        </w:rPr>
        <w:t>A lot of associations make mistakes</w:t>
      </w:r>
      <w:r w:rsidR="004B66F1">
        <w:rPr>
          <w:rFonts w:ascii="Times New Roman" w:hAnsi="Times New Roman" w:cs="Times New Roman"/>
          <w:sz w:val="24"/>
          <w:szCs w:val="24"/>
        </w:rPr>
        <w:t xml:space="preserve"> in</w:t>
      </w:r>
      <w:r w:rsidRPr="00AA23F3">
        <w:rPr>
          <w:rFonts w:ascii="Times New Roman" w:hAnsi="Times New Roman" w:cs="Times New Roman"/>
          <w:sz w:val="24"/>
          <w:szCs w:val="24"/>
        </w:rPr>
        <w:t xml:space="preserve"> the lien process. Many fail to send the notice of late assessments and then try to collect attorney’s fees when the association lawyer sends a pre-lien letter. Others charge 18% interest on delinquent assessments even when the declaration mandate</w:t>
      </w:r>
      <w:r w:rsidR="005E3057">
        <w:rPr>
          <w:rFonts w:ascii="Times New Roman" w:hAnsi="Times New Roman" w:cs="Times New Roman"/>
          <w:sz w:val="24"/>
          <w:szCs w:val="24"/>
        </w:rPr>
        <w:t>s</w:t>
      </w:r>
      <w:r w:rsidRPr="00AA23F3">
        <w:rPr>
          <w:rFonts w:ascii="Times New Roman" w:hAnsi="Times New Roman" w:cs="Times New Roman"/>
          <w:sz w:val="24"/>
          <w:szCs w:val="24"/>
        </w:rPr>
        <w:t xml:space="preserve"> a lesser amount. More than a few </w:t>
      </w:r>
      <w:proofErr w:type="gramStart"/>
      <w:r w:rsidR="004B66F1" w:rsidRPr="00AA23F3">
        <w:rPr>
          <w:rFonts w:ascii="Times New Roman" w:hAnsi="Times New Roman" w:cs="Times New Roman"/>
          <w:sz w:val="24"/>
          <w:szCs w:val="24"/>
        </w:rPr>
        <w:t>charge</w:t>
      </w:r>
      <w:proofErr w:type="gramEnd"/>
      <w:r w:rsidRPr="00AA23F3">
        <w:rPr>
          <w:rFonts w:ascii="Times New Roman" w:hAnsi="Times New Roman" w:cs="Times New Roman"/>
          <w:sz w:val="24"/>
          <w:szCs w:val="24"/>
        </w:rPr>
        <w:t xml:space="preserve"> late fees in excess of the statutory maximum. All of these mistakes could be avoided if associations adopted procedures after review of the</w:t>
      </w:r>
      <w:r w:rsidR="00DB1B8C">
        <w:rPr>
          <w:rFonts w:ascii="Times New Roman" w:hAnsi="Times New Roman" w:cs="Times New Roman"/>
          <w:sz w:val="24"/>
          <w:szCs w:val="24"/>
        </w:rPr>
        <w:t>ir</w:t>
      </w:r>
      <w:r w:rsidRPr="00AA23F3">
        <w:rPr>
          <w:rFonts w:ascii="Times New Roman" w:hAnsi="Times New Roman" w:cs="Times New Roman"/>
          <w:sz w:val="24"/>
          <w:szCs w:val="24"/>
        </w:rPr>
        <w:t xml:space="preserve"> declaration and the statutory requirements with association counsel.</w:t>
      </w:r>
    </w:p>
    <w:p w14:paraId="12338046" w14:textId="77777777" w:rsidR="002C62CD" w:rsidRPr="002C62CD" w:rsidRDefault="002C62CD" w:rsidP="002C62CD">
      <w:pPr>
        <w:spacing w:after="0" w:line="240" w:lineRule="auto"/>
        <w:jc w:val="both"/>
        <w:rPr>
          <w:rFonts w:ascii="Times New Roman" w:hAnsi="Times New Roman" w:cs="Times New Roman"/>
          <w:sz w:val="24"/>
          <w:szCs w:val="24"/>
        </w:rPr>
      </w:pPr>
    </w:p>
    <w:p w14:paraId="589C58D8" w14:textId="790B6CAF" w:rsidR="00AF3AC6" w:rsidRPr="00CC5DCD" w:rsidRDefault="007E694F" w:rsidP="001034A8">
      <w:pPr>
        <w:pStyle w:val="NormalWeb"/>
        <w:shd w:val="clear" w:color="auto" w:fill="FFFFFF"/>
        <w:spacing w:before="0" w:beforeAutospacing="0" w:after="0" w:afterAutospacing="0"/>
        <w:jc w:val="both"/>
        <w:rPr>
          <w:sz w:val="20"/>
          <w:szCs w:val="20"/>
        </w:rPr>
      </w:pPr>
      <w:r w:rsidRPr="00CC5DCD">
        <w:rPr>
          <w:b/>
          <w:i/>
          <w:sz w:val="20"/>
          <w:szCs w:val="20"/>
        </w:rPr>
        <w:t xml:space="preserve">William G. Morris is the principal of William G. Morris, P.A. William G. Morris and his firm have represented clients in Collier County for over 30 years. His practice includes litigation and divorce, business law, estate planning, associations and real estate. The information in this column is general in nature and not intended as legal advice. </w:t>
      </w:r>
    </w:p>
    <w:sectPr w:rsidR="00AF3AC6" w:rsidRPr="00CC5DCD" w:rsidSect="00D369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23171"/>
    <w:multiLevelType w:val="hybridMultilevel"/>
    <w:tmpl w:val="52DE6882"/>
    <w:lvl w:ilvl="0" w:tplc="9D8ED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122959"/>
    <w:multiLevelType w:val="hybridMultilevel"/>
    <w:tmpl w:val="D3F882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104CAC"/>
    <w:multiLevelType w:val="hybridMultilevel"/>
    <w:tmpl w:val="39328BA0"/>
    <w:lvl w:ilvl="0" w:tplc="FFE0D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C62674"/>
    <w:multiLevelType w:val="hybridMultilevel"/>
    <w:tmpl w:val="19E24DCE"/>
    <w:lvl w:ilvl="0" w:tplc="31E47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24820837">
    <w:abstractNumId w:val="0"/>
  </w:num>
  <w:num w:numId="2" w16cid:durableId="2055305207">
    <w:abstractNumId w:val="2"/>
  </w:num>
  <w:num w:numId="3" w16cid:durableId="812796769">
    <w:abstractNumId w:val="3"/>
  </w:num>
  <w:num w:numId="4" w16cid:durableId="352196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6C6D7A-0F3C-47C6-8B56-445D31BC034C}"/>
    <w:docVar w:name="dgnword-drafile" w:val="C:\Users\wgm\AppData\Local\Temp\draB781.tmp"/>
    <w:docVar w:name="dgnword-eventsink" w:val="274474232"/>
  </w:docVars>
  <w:rsids>
    <w:rsidRoot w:val="009166A5"/>
    <w:rsid w:val="00001D63"/>
    <w:rsid w:val="00003A2F"/>
    <w:rsid w:val="000053CD"/>
    <w:rsid w:val="000108D1"/>
    <w:rsid w:val="00010DA3"/>
    <w:rsid w:val="00011C6A"/>
    <w:rsid w:val="00012B92"/>
    <w:rsid w:val="0001434A"/>
    <w:rsid w:val="00017EAB"/>
    <w:rsid w:val="0002492E"/>
    <w:rsid w:val="0003206B"/>
    <w:rsid w:val="000345B6"/>
    <w:rsid w:val="00035C21"/>
    <w:rsid w:val="0003625E"/>
    <w:rsid w:val="00037049"/>
    <w:rsid w:val="00045870"/>
    <w:rsid w:val="00050503"/>
    <w:rsid w:val="00050CC5"/>
    <w:rsid w:val="00056D67"/>
    <w:rsid w:val="00064A26"/>
    <w:rsid w:val="00072F37"/>
    <w:rsid w:val="00073AC4"/>
    <w:rsid w:val="00075088"/>
    <w:rsid w:val="0007647D"/>
    <w:rsid w:val="000849D6"/>
    <w:rsid w:val="00084DF8"/>
    <w:rsid w:val="00092516"/>
    <w:rsid w:val="00094290"/>
    <w:rsid w:val="000957C5"/>
    <w:rsid w:val="00095C8A"/>
    <w:rsid w:val="000A053F"/>
    <w:rsid w:val="000A7423"/>
    <w:rsid w:val="000B20D3"/>
    <w:rsid w:val="000B7AE9"/>
    <w:rsid w:val="000C10BE"/>
    <w:rsid w:val="000C6D60"/>
    <w:rsid w:val="000C7A08"/>
    <w:rsid w:val="000D2BE3"/>
    <w:rsid w:val="000D340F"/>
    <w:rsid w:val="000D71E3"/>
    <w:rsid w:val="000E0186"/>
    <w:rsid w:val="000E31A2"/>
    <w:rsid w:val="000E3C4F"/>
    <w:rsid w:val="000F3071"/>
    <w:rsid w:val="000F4A65"/>
    <w:rsid w:val="0010171C"/>
    <w:rsid w:val="001034A8"/>
    <w:rsid w:val="00114941"/>
    <w:rsid w:val="001207DA"/>
    <w:rsid w:val="00126947"/>
    <w:rsid w:val="00130D00"/>
    <w:rsid w:val="0013145E"/>
    <w:rsid w:val="0013159F"/>
    <w:rsid w:val="00133D01"/>
    <w:rsid w:val="00147ABD"/>
    <w:rsid w:val="001540CD"/>
    <w:rsid w:val="00154FA8"/>
    <w:rsid w:val="001560E6"/>
    <w:rsid w:val="0015792B"/>
    <w:rsid w:val="00164C91"/>
    <w:rsid w:val="001800C0"/>
    <w:rsid w:val="001807BE"/>
    <w:rsid w:val="001937F8"/>
    <w:rsid w:val="001A3083"/>
    <w:rsid w:val="001A487A"/>
    <w:rsid w:val="001A6C04"/>
    <w:rsid w:val="001B194A"/>
    <w:rsid w:val="001B621E"/>
    <w:rsid w:val="0023100F"/>
    <w:rsid w:val="0023126E"/>
    <w:rsid w:val="00232F03"/>
    <w:rsid w:val="00233610"/>
    <w:rsid w:val="0023605B"/>
    <w:rsid w:val="00236C79"/>
    <w:rsid w:val="002452A1"/>
    <w:rsid w:val="00250734"/>
    <w:rsid w:val="0026117D"/>
    <w:rsid w:val="00263310"/>
    <w:rsid w:val="0027176B"/>
    <w:rsid w:val="00273BD0"/>
    <w:rsid w:val="00281AC8"/>
    <w:rsid w:val="00282A24"/>
    <w:rsid w:val="00283EB6"/>
    <w:rsid w:val="0028554F"/>
    <w:rsid w:val="00291271"/>
    <w:rsid w:val="00292BA1"/>
    <w:rsid w:val="0029327C"/>
    <w:rsid w:val="002A1C2F"/>
    <w:rsid w:val="002A4E15"/>
    <w:rsid w:val="002B06FB"/>
    <w:rsid w:val="002B167F"/>
    <w:rsid w:val="002B36C4"/>
    <w:rsid w:val="002B6C71"/>
    <w:rsid w:val="002C2696"/>
    <w:rsid w:val="002C3A1C"/>
    <w:rsid w:val="002C3F57"/>
    <w:rsid w:val="002C4939"/>
    <w:rsid w:val="002C5BD8"/>
    <w:rsid w:val="002C62CD"/>
    <w:rsid w:val="002D0A08"/>
    <w:rsid w:val="002D5D86"/>
    <w:rsid w:val="002D6450"/>
    <w:rsid w:val="002D6CD3"/>
    <w:rsid w:val="002E3CFE"/>
    <w:rsid w:val="002E626A"/>
    <w:rsid w:val="002F4B17"/>
    <w:rsid w:val="002F4BDA"/>
    <w:rsid w:val="002F6532"/>
    <w:rsid w:val="003032AB"/>
    <w:rsid w:val="00306462"/>
    <w:rsid w:val="00306D4C"/>
    <w:rsid w:val="00310193"/>
    <w:rsid w:val="00310815"/>
    <w:rsid w:val="003241B2"/>
    <w:rsid w:val="0032491D"/>
    <w:rsid w:val="00332C24"/>
    <w:rsid w:val="00337663"/>
    <w:rsid w:val="00340C30"/>
    <w:rsid w:val="0034279C"/>
    <w:rsid w:val="003460F3"/>
    <w:rsid w:val="00346E8C"/>
    <w:rsid w:val="00354F22"/>
    <w:rsid w:val="00362078"/>
    <w:rsid w:val="00363CDA"/>
    <w:rsid w:val="003645C6"/>
    <w:rsid w:val="0037240D"/>
    <w:rsid w:val="0037298A"/>
    <w:rsid w:val="00375018"/>
    <w:rsid w:val="003807B4"/>
    <w:rsid w:val="003833B3"/>
    <w:rsid w:val="0039088A"/>
    <w:rsid w:val="003931DE"/>
    <w:rsid w:val="003A304F"/>
    <w:rsid w:val="003A4402"/>
    <w:rsid w:val="003B3E5C"/>
    <w:rsid w:val="003B4FEE"/>
    <w:rsid w:val="003B5158"/>
    <w:rsid w:val="003C1C1D"/>
    <w:rsid w:val="003C4170"/>
    <w:rsid w:val="003C59C5"/>
    <w:rsid w:val="003D0166"/>
    <w:rsid w:val="003D06A0"/>
    <w:rsid w:val="003D3A71"/>
    <w:rsid w:val="003D3CD3"/>
    <w:rsid w:val="003D4092"/>
    <w:rsid w:val="003E074B"/>
    <w:rsid w:val="003E5050"/>
    <w:rsid w:val="003E5C98"/>
    <w:rsid w:val="003F622C"/>
    <w:rsid w:val="00404F52"/>
    <w:rsid w:val="004146BE"/>
    <w:rsid w:val="00420758"/>
    <w:rsid w:val="004217AD"/>
    <w:rsid w:val="00427356"/>
    <w:rsid w:val="0042783E"/>
    <w:rsid w:val="00437F22"/>
    <w:rsid w:val="00451FF3"/>
    <w:rsid w:val="00455A9B"/>
    <w:rsid w:val="004565EF"/>
    <w:rsid w:val="004626E1"/>
    <w:rsid w:val="00472562"/>
    <w:rsid w:val="00472BE8"/>
    <w:rsid w:val="004778E6"/>
    <w:rsid w:val="00492C5C"/>
    <w:rsid w:val="004944D9"/>
    <w:rsid w:val="004A2122"/>
    <w:rsid w:val="004B112B"/>
    <w:rsid w:val="004B4D26"/>
    <w:rsid w:val="004B66F1"/>
    <w:rsid w:val="004C063E"/>
    <w:rsid w:val="004C7CF0"/>
    <w:rsid w:val="004D293F"/>
    <w:rsid w:val="004D589D"/>
    <w:rsid w:val="004E512E"/>
    <w:rsid w:val="004F4898"/>
    <w:rsid w:val="00503AB0"/>
    <w:rsid w:val="00503E71"/>
    <w:rsid w:val="00511636"/>
    <w:rsid w:val="00511EE4"/>
    <w:rsid w:val="0052012A"/>
    <w:rsid w:val="0052696C"/>
    <w:rsid w:val="005271B1"/>
    <w:rsid w:val="005312A1"/>
    <w:rsid w:val="0053489B"/>
    <w:rsid w:val="00536E61"/>
    <w:rsid w:val="0053747A"/>
    <w:rsid w:val="00537F5A"/>
    <w:rsid w:val="0054064D"/>
    <w:rsid w:val="005508FD"/>
    <w:rsid w:val="0055226D"/>
    <w:rsid w:val="005551A4"/>
    <w:rsid w:val="00556262"/>
    <w:rsid w:val="00565271"/>
    <w:rsid w:val="0056702B"/>
    <w:rsid w:val="0057391D"/>
    <w:rsid w:val="00576C8F"/>
    <w:rsid w:val="00582180"/>
    <w:rsid w:val="00587592"/>
    <w:rsid w:val="00590C23"/>
    <w:rsid w:val="00591941"/>
    <w:rsid w:val="005A70FC"/>
    <w:rsid w:val="005A7128"/>
    <w:rsid w:val="005B11D9"/>
    <w:rsid w:val="005B6CA2"/>
    <w:rsid w:val="005C5A89"/>
    <w:rsid w:val="005C6E7B"/>
    <w:rsid w:val="005C7D15"/>
    <w:rsid w:val="005D0D46"/>
    <w:rsid w:val="005D77AA"/>
    <w:rsid w:val="005E0484"/>
    <w:rsid w:val="005E3057"/>
    <w:rsid w:val="005E4518"/>
    <w:rsid w:val="005E55A9"/>
    <w:rsid w:val="005E6B16"/>
    <w:rsid w:val="005E7ED5"/>
    <w:rsid w:val="005F29A8"/>
    <w:rsid w:val="0060230A"/>
    <w:rsid w:val="00603700"/>
    <w:rsid w:val="00605B1C"/>
    <w:rsid w:val="00611684"/>
    <w:rsid w:val="00612DF6"/>
    <w:rsid w:val="0061664B"/>
    <w:rsid w:val="00617AC3"/>
    <w:rsid w:val="00625202"/>
    <w:rsid w:val="00631351"/>
    <w:rsid w:val="00635C79"/>
    <w:rsid w:val="00640CBB"/>
    <w:rsid w:val="00647C14"/>
    <w:rsid w:val="006509F5"/>
    <w:rsid w:val="00650A73"/>
    <w:rsid w:val="00662062"/>
    <w:rsid w:val="0066408F"/>
    <w:rsid w:val="00667406"/>
    <w:rsid w:val="0067037F"/>
    <w:rsid w:val="0067537E"/>
    <w:rsid w:val="00675540"/>
    <w:rsid w:val="0067761D"/>
    <w:rsid w:val="006778B3"/>
    <w:rsid w:val="00681981"/>
    <w:rsid w:val="00684A5C"/>
    <w:rsid w:val="006855CE"/>
    <w:rsid w:val="00690857"/>
    <w:rsid w:val="00692AD7"/>
    <w:rsid w:val="006942E5"/>
    <w:rsid w:val="00695853"/>
    <w:rsid w:val="006A1E55"/>
    <w:rsid w:val="006A6907"/>
    <w:rsid w:val="006B10C6"/>
    <w:rsid w:val="006B1D4E"/>
    <w:rsid w:val="006B6485"/>
    <w:rsid w:val="006B7C56"/>
    <w:rsid w:val="006C21C5"/>
    <w:rsid w:val="006C395E"/>
    <w:rsid w:val="006C4E3F"/>
    <w:rsid w:val="006C50AD"/>
    <w:rsid w:val="006D0E57"/>
    <w:rsid w:val="006D170B"/>
    <w:rsid w:val="006E0908"/>
    <w:rsid w:val="006E230F"/>
    <w:rsid w:val="006F103A"/>
    <w:rsid w:val="006F64AD"/>
    <w:rsid w:val="007000C1"/>
    <w:rsid w:val="007005AD"/>
    <w:rsid w:val="00701C0A"/>
    <w:rsid w:val="00706AA7"/>
    <w:rsid w:val="00716707"/>
    <w:rsid w:val="00717933"/>
    <w:rsid w:val="00717C21"/>
    <w:rsid w:val="00721BF6"/>
    <w:rsid w:val="007221CE"/>
    <w:rsid w:val="007246AD"/>
    <w:rsid w:val="00724CF1"/>
    <w:rsid w:val="007264EB"/>
    <w:rsid w:val="007361EA"/>
    <w:rsid w:val="00736B7D"/>
    <w:rsid w:val="007432B3"/>
    <w:rsid w:val="0074470C"/>
    <w:rsid w:val="00747751"/>
    <w:rsid w:val="007720CC"/>
    <w:rsid w:val="007829EE"/>
    <w:rsid w:val="00787523"/>
    <w:rsid w:val="00797A40"/>
    <w:rsid w:val="007C1171"/>
    <w:rsid w:val="007C2E92"/>
    <w:rsid w:val="007D043E"/>
    <w:rsid w:val="007D1328"/>
    <w:rsid w:val="007D24D0"/>
    <w:rsid w:val="007D42B6"/>
    <w:rsid w:val="007D53FD"/>
    <w:rsid w:val="007E0489"/>
    <w:rsid w:val="007E09A5"/>
    <w:rsid w:val="007E253C"/>
    <w:rsid w:val="007E4592"/>
    <w:rsid w:val="007E51BD"/>
    <w:rsid w:val="007E694F"/>
    <w:rsid w:val="007F267F"/>
    <w:rsid w:val="007F5748"/>
    <w:rsid w:val="007F6CE9"/>
    <w:rsid w:val="008016B0"/>
    <w:rsid w:val="00802589"/>
    <w:rsid w:val="008035C7"/>
    <w:rsid w:val="00807F42"/>
    <w:rsid w:val="008125F3"/>
    <w:rsid w:val="00812905"/>
    <w:rsid w:val="008226F3"/>
    <w:rsid w:val="008228CF"/>
    <w:rsid w:val="00827D29"/>
    <w:rsid w:val="00837124"/>
    <w:rsid w:val="008442AC"/>
    <w:rsid w:val="00844525"/>
    <w:rsid w:val="008471F6"/>
    <w:rsid w:val="00847212"/>
    <w:rsid w:val="008507AE"/>
    <w:rsid w:val="008606BC"/>
    <w:rsid w:val="00860865"/>
    <w:rsid w:val="00865A67"/>
    <w:rsid w:val="00865B93"/>
    <w:rsid w:val="0086607B"/>
    <w:rsid w:val="00867522"/>
    <w:rsid w:val="008676DD"/>
    <w:rsid w:val="00875F05"/>
    <w:rsid w:val="0088031A"/>
    <w:rsid w:val="00881F94"/>
    <w:rsid w:val="00890F07"/>
    <w:rsid w:val="008A5702"/>
    <w:rsid w:val="008A68CC"/>
    <w:rsid w:val="008A6E99"/>
    <w:rsid w:val="008A6F72"/>
    <w:rsid w:val="008B2283"/>
    <w:rsid w:val="008B5FAE"/>
    <w:rsid w:val="008C013B"/>
    <w:rsid w:val="008C2370"/>
    <w:rsid w:val="008C57FE"/>
    <w:rsid w:val="008D1541"/>
    <w:rsid w:val="008D3F7B"/>
    <w:rsid w:val="008D53AD"/>
    <w:rsid w:val="008E217F"/>
    <w:rsid w:val="008E22D6"/>
    <w:rsid w:val="008E5639"/>
    <w:rsid w:val="008E5BA8"/>
    <w:rsid w:val="008E66A4"/>
    <w:rsid w:val="008F1559"/>
    <w:rsid w:val="008F3516"/>
    <w:rsid w:val="008F36F2"/>
    <w:rsid w:val="008F62C2"/>
    <w:rsid w:val="008F6E15"/>
    <w:rsid w:val="00904907"/>
    <w:rsid w:val="009166A5"/>
    <w:rsid w:val="0092156F"/>
    <w:rsid w:val="00923928"/>
    <w:rsid w:val="009250CC"/>
    <w:rsid w:val="009267B1"/>
    <w:rsid w:val="00941FD3"/>
    <w:rsid w:val="00942152"/>
    <w:rsid w:val="00943E6D"/>
    <w:rsid w:val="00954470"/>
    <w:rsid w:val="009611B9"/>
    <w:rsid w:val="0096473D"/>
    <w:rsid w:val="00965B06"/>
    <w:rsid w:val="009709FF"/>
    <w:rsid w:val="00972C77"/>
    <w:rsid w:val="00976CE9"/>
    <w:rsid w:val="0097757C"/>
    <w:rsid w:val="0098785F"/>
    <w:rsid w:val="009907D2"/>
    <w:rsid w:val="0099128C"/>
    <w:rsid w:val="00996969"/>
    <w:rsid w:val="009A206B"/>
    <w:rsid w:val="009A2E34"/>
    <w:rsid w:val="009A486D"/>
    <w:rsid w:val="009B1F91"/>
    <w:rsid w:val="009B3F57"/>
    <w:rsid w:val="009C09F9"/>
    <w:rsid w:val="009C11BE"/>
    <w:rsid w:val="009C37C7"/>
    <w:rsid w:val="009C4FD1"/>
    <w:rsid w:val="009C6EF9"/>
    <w:rsid w:val="009C7A14"/>
    <w:rsid w:val="009D11C9"/>
    <w:rsid w:val="009D36DA"/>
    <w:rsid w:val="009D4757"/>
    <w:rsid w:val="009D4D6A"/>
    <w:rsid w:val="009D6982"/>
    <w:rsid w:val="009D72C9"/>
    <w:rsid w:val="009D7E1D"/>
    <w:rsid w:val="009E0567"/>
    <w:rsid w:val="009E076E"/>
    <w:rsid w:val="009F3D47"/>
    <w:rsid w:val="009F7AC7"/>
    <w:rsid w:val="00A04EEB"/>
    <w:rsid w:val="00A06413"/>
    <w:rsid w:val="00A06E34"/>
    <w:rsid w:val="00A155D1"/>
    <w:rsid w:val="00A169C7"/>
    <w:rsid w:val="00A17AE0"/>
    <w:rsid w:val="00A222BA"/>
    <w:rsid w:val="00A270E0"/>
    <w:rsid w:val="00A469D6"/>
    <w:rsid w:val="00A51937"/>
    <w:rsid w:val="00A60869"/>
    <w:rsid w:val="00A66382"/>
    <w:rsid w:val="00A666F0"/>
    <w:rsid w:val="00A669B9"/>
    <w:rsid w:val="00A71C63"/>
    <w:rsid w:val="00A72F2C"/>
    <w:rsid w:val="00A7607D"/>
    <w:rsid w:val="00A83AA0"/>
    <w:rsid w:val="00A84258"/>
    <w:rsid w:val="00A84F67"/>
    <w:rsid w:val="00A96FC5"/>
    <w:rsid w:val="00AA23F3"/>
    <w:rsid w:val="00AA2E2E"/>
    <w:rsid w:val="00AA4422"/>
    <w:rsid w:val="00AA625E"/>
    <w:rsid w:val="00AA679F"/>
    <w:rsid w:val="00AB4080"/>
    <w:rsid w:val="00AC1BE3"/>
    <w:rsid w:val="00AC202A"/>
    <w:rsid w:val="00AC2CBE"/>
    <w:rsid w:val="00AC7570"/>
    <w:rsid w:val="00AD0595"/>
    <w:rsid w:val="00AD2541"/>
    <w:rsid w:val="00AD40B3"/>
    <w:rsid w:val="00AD4A87"/>
    <w:rsid w:val="00AD5134"/>
    <w:rsid w:val="00AD6CAF"/>
    <w:rsid w:val="00AD7C64"/>
    <w:rsid w:val="00AE42FA"/>
    <w:rsid w:val="00AE7CE4"/>
    <w:rsid w:val="00AF0CA2"/>
    <w:rsid w:val="00AF1CA1"/>
    <w:rsid w:val="00AF3AC6"/>
    <w:rsid w:val="00B00F0E"/>
    <w:rsid w:val="00B056A4"/>
    <w:rsid w:val="00B1263F"/>
    <w:rsid w:val="00B17AC1"/>
    <w:rsid w:val="00B24ECF"/>
    <w:rsid w:val="00B26E8C"/>
    <w:rsid w:val="00B277E0"/>
    <w:rsid w:val="00B30ABB"/>
    <w:rsid w:val="00B34CDE"/>
    <w:rsid w:val="00B42F40"/>
    <w:rsid w:val="00B5189A"/>
    <w:rsid w:val="00B573C5"/>
    <w:rsid w:val="00B67508"/>
    <w:rsid w:val="00B75D92"/>
    <w:rsid w:val="00B75E0C"/>
    <w:rsid w:val="00B822AC"/>
    <w:rsid w:val="00B94093"/>
    <w:rsid w:val="00BA1E8E"/>
    <w:rsid w:val="00BA4D04"/>
    <w:rsid w:val="00BB071F"/>
    <w:rsid w:val="00BC3597"/>
    <w:rsid w:val="00BD0722"/>
    <w:rsid w:val="00BD4E21"/>
    <w:rsid w:val="00BD5196"/>
    <w:rsid w:val="00BD7753"/>
    <w:rsid w:val="00BE1BE5"/>
    <w:rsid w:val="00BE45AF"/>
    <w:rsid w:val="00BE617D"/>
    <w:rsid w:val="00BF114A"/>
    <w:rsid w:val="00BF3B8B"/>
    <w:rsid w:val="00BF49D7"/>
    <w:rsid w:val="00BF5EFE"/>
    <w:rsid w:val="00C0402D"/>
    <w:rsid w:val="00C07895"/>
    <w:rsid w:val="00C172B8"/>
    <w:rsid w:val="00C17DBB"/>
    <w:rsid w:val="00C2313F"/>
    <w:rsid w:val="00C24ACD"/>
    <w:rsid w:val="00C26891"/>
    <w:rsid w:val="00C302B7"/>
    <w:rsid w:val="00C30617"/>
    <w:rsid w:val="00C40395"/>
    <w:rsid w:val="00C45A56"/>
    <w:rsid w:val="00C50B47"/>
    <w:rsid w:val="00C6076F"/>
    <w:rsid w:val="00C62B07"/>
    <w:rsid w:val="00C645EC"/>
    <w:rsid w:val="00C66F41"/>
    <w:rsid w:val="00C67F77"/>
    <w:rsid w:val="00C70B50"/>
    <w:rsid w:val="00C7479C"/>
    <w:rsid w:val="00C7484A"/>
    <w:rsid w:val="00C77801"/>
    <w:rsid w:val="00C85A60"/>
    <w:rsid w:val="00C917F1"/>
    <w:rsid w:val="00C91F00"/>
    <w:rsid w:val="00C921EB"/>
    <w:rsid w:val="00CA0749"/>
    <w:rsid w:val="00CB0D01"/>
    <w:rsid w:val="00CB578C"/>
    <w:rsid w:val="00CC00DD"/>
    <w:rsid w:val="00CC028B"/>
    <w:rsid w:val="00CC02FC"/>
    <w:rsid w:val="00CC260D"/>
    <w:rsid w:val="00CC265D"/>
    <w:rsid w:val="00CC541E"/>
    <w:rsid w:val="00CC5DCD"/>
    <w:rsid w:val="00CC7D6F"/>
    <w:rsid w:val="00CD26B0"/>
    <w:rsid w:val="00CE0950"/>
    <w:rsid w:val="00CE4E72"/>
    <w:rsid w:val="00CF08AF"/>
    <w:rsid w:val="00CF1454"/>
    <w:rsid w:val="00CF17D9"/>
    <w:rsid w:val="00CF5A35"/>
    <w:rsid w:val="00CF659B"/>
    <w:rsid w:val="00CF6D68"/>
    <w:rsid w:val="00D02A06"/>
    <w:rsid w:val="00D04626"/>
    <w:rsid w:val="00D05C09"/>
    <w:rsid w:val="00D12ADC"/>
    <w:rsid w:val="00D12B0B"/>
    <w:rsid w:val="00D15999"/>
    <w:rsid w:val="00D2324E"/>
    <w:rsid w:val="00D249CC"/>
    <w:rsid w:val="00D2772F"/>
    <w:rsid w:val="00D27E32"/>
    <w:rsid w:val="00D30F96"/>
    <w:rsid w:val="00D369FD"/>
    <w:rsid w:val="00D37E01"/>
    <w:rsid w:val="00D503AE"/>
    <w:rsid w:val="00D55CAF"/>
    <w:rsid w:val="00D61E2B"/>
    <w:rsid w:val="00D65149"/>
    <w:rsid w:val="00D6627A"/>
    <w:rsid w:val="00D72869"/>
    <w:rsid w:val="00D73ED4"/>
    <w:rsid w:val="00D77B09"/>
    <w:rsid w:val="00D80180"/>
    <w:rsid w:val="00D8182C"/>
    <w:rsid w:val="00D81EF7"/>
    <w:rsid w:val="00D828FF"/>
    <w:rsid w:val="00D87726"/>
    <w:rsid w:val="00D915ED"/>
    <w:rsid w:val="00D92383"/>
    <w:rsid w:val="00D95C2F"/>
    <w:rsid w:val="00D97A07"/>
    <w:rsid w:val="00D97A69"/>
    <w:rsid w:val="00DA0DF5"/>
    <w:rsid w:val="00DA2151"/>
    <w:rsid w:val="00DA379C"/>
    <w:rsid w:val="00DB1B8C"/>
    <w:rsid w:val="00DB1E3C"/>
    <w:rsid w:val="00DB6195"/>
    <w:rsid w:val="00DB7D62"/>
    <w:rsid w:val="00DC1BF1"/>
    <w:rsid w:val="00DC2362"/>
    <w:rsid w:val="00DC25A9"/>
    <w:rsid w:val="00DC4EE9"/>
    <w:rsid w:val="00DC5E52"/>
    <w:rsid w:val="00DD53DC"/>
    <w:rsid w:val="00DD5433"/>
    <w:rsid w:val="00DD7450"/>
    <w:rsid w:val="00DE614B"/>
    <w:rsid w:val="00DF0386"/>
    <w:rsid w:val="00E00846"/>
    <w:rsid w:val="00E00FC1"/>
    <w:rsid w:val="00E064AB"/>
    <w:rsid w:val="00E07544"/>
    <w:rsid w:val="00E15927"/>
    <w:rsid w:val="00E224C6"/>
    <w:rsid w:val="00E30378"/>
    <w:rsid w:val="00E325E5"/>
    <w:rsid w:val="00E32710"/>
    <w:rsid w:val="00E348BE"/>
    <w:rsid w:val="00E42E34"/>
    <w:rsid w:val="00E43174"/>
    <w:rsid w:val="00E50841"/>
    <w:rsid w:val="00E50C50"/>
    <w:rsid w:val="00E51654"/>
    <w:rsid w:val="00E61A6D"/>
    <w:rsid w:val="00E61D2E"/>
    <w:rsid w:val="00E67F3A"/>
    <w:rsid w:val="00E75342"/>
    <w:rsid w:val="00E76446"/>
    <w:rsid w:val="00E76D70"/>
    <w:rsid w:val="00E832D2"/>
    <w:rsid w:val="00E84BB2"/>
    <w:rsid w:val="00E86CF3"/>
    <w:rsid w:val="00E92AB0"/>
    <w:rsid w:val="00E934C4"/>
    <w:rsid w:val="00E93786"/>
    <w:rsid w:val="00E96655"/>
    <w:rsid w:val="00EA0BA8"/>
    <w:rsid w:val="00EA2392"/>
    <w:rsid w:val="00EA405A"/>
    <w:rsid w:val="00EA57AF"/>
    <w:rsid w:val="00EA6936"/>
    <w:rsid w:val="00EA7E51"/>
    <w:rsid w:val="00EB2684"/>
    <w:rsid w:val="00EC6B26"/>
    <w:rsid w:val="00ED6A8B"/>
    <w:rsid w:val="00ED6C59"/>
    <w:rsid w:val="00EE06B7"/>
    <w:rsid w:val="00EE0C07"/>
    <w:rsid w:val="00EE1AA6"/>
    <w:rsid w:val="00EF2AEA"/>
    <w:rsid w:val="00EF548E"/>
    <w:rsid w:val="00EF6319"/>
    <w:rsid w:val="00F07548"/>
    <w:rsid w:val="00F07EB9"/>
    <w:rsid w:val="00F14F47"/>
    <w:rsid w:val="00F16FC3"/>
    <w:rsid w:val="00F176EC"/>
    <w:rsid w:val="00F218C0"/>
    <w:rsid w:val="00F23DAF"/>
    <w:rsid w:val="00F26B7C"/>
    <w:rsid w:val="00F279F9"/>
    <w:rsid w:val="00F30BAF"/>
    <w:rsid w:val="00F35EAD"/>
    <w:rsid w:val="00F40629"/>
    <w:rsid w:val="00F4243B"/>
    <w:rsid w:val="00F53913"/>
    <w:rsid w:val="00F61DB4"/>
    <w:rsid w:val="00F626F3"/>
    <w:rsid w:val="00F62B32"/>
    <w:rsid w:val="00F656E9"/>
    <w:rsid w:val="00F65A73"/>
    <w:rsid w:val="00F732DE"/>
    <w:rsid w:val="00F73966"/>
    <w:rsid w:val="00F73B36"/>
    <w:rsid w:val="00F7506A"/>
    <w:rsid w:val="00F76376"/>
    <w:rsid w:val="00F76499"/>
    <w:rsid w:val="00F77B72"/>
    <w:rsid w:val="00F77BDC"/>
    <w:rsid w:val="00F80F68"/>
    <w:rsid w:val="00F83F7B"/>
    <w:rsid w:val="00F84C21"/>
    <w:rsid w:val="00F87E90"/>
    <w:rsid w:val="00F930AB"/>
    <w:rsid w:val="00F94EFF"/>
    <w:rsid w:val="00FA0FD8"/>
    <w:rsid w:val="00FA591F"/>
    <w:rsid w:val="00FA68F5"/>
    <w:rsid w:val="00FB2F6F"/>
    <w:rsid w:val="00FB45CE"/>
    <w:rsid w:val="00FC0D53"/>
    <w:rsid w:val="00FC41E0"/>
    <w:rsid w:val="00FC5281"/>
    <w:rsid w:val="00FC6596"/>
    <w:rsid w:val="00FC7414"/>
    <w:rsid w:val="00FD486F"/>
    <w:rsid w:val="00FD48C4"/>
    <w:rsid w:val="00FE2E57"/>
    <w:rsid w:val="00FE3522"/>
    <w:rsid w:val="00FE5078"/>
    <w:rsid w:val="00FF0219"/>
    <w:rsid w:val="00FF37E2"/>
    <w:rsid w:val="00FF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BA1C"/>
  <w15:docId w15:val="{FE78F5E4-E846-4282-BCB0-9900C07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9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62"/>
    <w:rPr>
      <w:rFonts w:ascii="Segoe UI" w:hAnsi="Segoe UI" w:cs="Segoe UI"/>
      <w:sz w:val="18"/>
      <w:szCs w:val="18"/>
    </w:rPr>
  </w:style>
  <w:style w:type="character" w:styleId="CommentReference">
    <w:name w:val="annotation reference"/>
    <w:basedOn w:val="DefaultParagraphFont"/>
    <w:uiPriority w:val="99"/>
    <w:semiHidden/>
    <w:unhideWhenUsed/>
    <w:rsid w:val="00DB6195"/>
    <w:rPr>
      <w:sz w:val="16"/>
      <w:szCs w:val="16"/>
    </w:rPr>
  </w:style>
  <w:style w:type="paragraph" w:styleId="CommentText">
    <w:name w:val="annotation text"/>
    <w:basedOn w:val="Normal"/>
    <w:link w:val="CommentTextChar"/>
    <w:uiPriority w:val="99"/>
    <w:semiHidden/>
    <w:unhideWhenUsed/>
    <w:rsid w:val="00DB6195"/>
    <w:pPr>
      <w:spacing w:line="240" w:lineRule="auto"/>
    </w:pPr>
    <w:rPr>
      <w:sz w:val="20"/>
      <w:szCs w:val="20"/>
    </w:rPr>
  </w:style>
  <w:style w:type="character" w:customStyle="1" w:styleId="CommentTextChar">
    <w:name w:val="Comment Text Char"/>
    <w:basedOn w:val="DefaultParagraphFont"/>
    <w:link w:val="CommentText"/>
    <w:uiPriority w:val="99"/>
    <w:semiHidden/>
    <w:rsid w:val="00DB6195"/>
    <w:rPr>
      <w:sz w:val="20"/>
      <w:szCs w:val="20"/>
    </w:rPr>
  </w:style>
  <w:style w:type="paragraph" w:styleId="CommentSubject">
    <w:name w:val="annotation subject"/>
    <w:basedOn w:val="CommentText"/>
    <w:next w:val="CommentText"/>
    <w:link w:val="CommentSubjectChar"/>
    <w:uiPriority w:val="99"/>
    <w:semiHidden/>
    <w:unhideWhenUsed/>
    <w:rsid w:val="00DB6195"/>
    <w:rPr>
      <w:b/>
      <w:bCs/>
    </w:rPr>
  </w:style>
  <w:style w:type="character" w:customStyle="1" w:styleId="CommentSubjectChar">
    <w:name w:val="Comment Subject Char"/>
    <w:basedOn w:val="CommentTextChar"/>
    <w:link w:val="CommentSubject"/>
    <w:uiPriority w:val="99"/>
    <w:semiHidden/>
    <w:rsid w:val="00DB6195"/>
    <w:rPr>
      <w:b/>
      <w:bCs/>
      <w:sz w:val="20"/>
      <w:szCs w:val="20"/>
    </w:rPr>
  </w:style>
  <w:style w:type="paragraph" w:styleId="ListParagraph">
    <w:name w:val="List Paragraph"/>
    <w:basedOn w:val="Normal"/>
    <w:uiPriority w:val="34"/>
    <w:qFormat/>
    <w:rsid w:val="005D77AA"/>
    <w:pPr>
      <w:ind w:left="720"/>
      <w:contextualSpacing/>
    </w:pPr>
  </w:style>
  <w:style w:type="character" w:customStyle="1" w:styleId="number">
    <w:name w:val="number"/>
    <w:basedOn w:val="DefaultParagraphFont"/>
    <w:rsid w:val="00233610"/>
  </w:style>
  <w:style w:type="character" w:customStyle="1" w:styleId="text">
    <w:name w:val="text"/>
    <w:basedOn w:val="DefaultParagraphFont"/>
    <w:rsid w:val="00233610"/>
  </w:style>
  <w:style w:type="character" w:customStyle="1" w:styleId="cosearchterm">
    <w:name w:val="co_searchterm"/>
    <w:basedOn w:val="DefaultParagraphFont"/>
    <w:rsid w:val="004C0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625882">
      <w:bodyDiv w:val="1"/>
      <w:marLeft w:val="0"/>
      <w:marRight w:val="0"/>
      <w:marTop w:val="0"/>
      <w:marBottom w:val="0"/>
      <w:divBdr>
        <w:top w:val="none" w:sz="0" w:space="0" w:color="auto"/>
        <w:left w:val="none" w:sz="0" w:space="0" w:color="auto"/>
        <w:bottom w:val="none" w:sz="0" w:space="0" w:color="auto"/>
        <w:right w:val="none" w:sz="0" w:space="0" w:color="auto"/>
      </w:divBdr>
      <w:divsChild>
        <w:div w:id="135873790">
          <w:marLeft w:val="0"/>
          <w:marRight w:val="0"/>
          <w:marTop w:val="0"/>
          <w:marBottom w:val="0"/>
          <w:divBdr>
            <w:top w:val="none" w:sz="0" w:space="0" w:color="auto"/>
            <w:left w:val="none" w:sz="0" w:space="0" w:color="auto"/>
            <w:bottom w:val="none" w:sz="0" w:space="0" w:color="auto"/>
            <w:right w:val="none" w:sz="0" w:space="0" w:color="auto"/>
          </w:divBdr>
        </w:div>
        <w:div w:id="176483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Morris</dc:creator>
  <cp:lastModifiedBy>WGM Law</cp:lastModifiedBy>
  <cp:revision>4</cp:revision>
  <cp:lastPrinted>2022-08-08T14:48:00Z</cp:lastPrinted>
  <dcterms:created xsi:type="dcterms:W3CDTF">2022-08-08T13:15:00Z</dcterms:created>
  <dcterms:modified xsi:type="dcterms:W3CDTF">2022-08-08T17:54:00Z</dcterms:modified>
</cp:coreProperties>
</file>